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13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drawings/drawing14.xml" ContentType="application/vnd.openxmlformats-officedocument.drawingml.chartshapes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drawings/drawing15.xml" ContentType="application/vnd.openxmlformats-officedocument.drawingml.chartshapes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drawings/drawing16.xml" ContentType="application/vnd.openxmlformats-officedocument.drawingml.chartshapes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drawings/drawing17.xml" ContentType="application/vnd.openxmlformats-officedocument.drawingml.chartshapes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drawings/drawing18.xml" ContentType="application/vnd.openxmlformats-officedocument.drawingml.chartshapes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19.xml" ContentType="application/vnd.openxmlformats-officedocument.drawingml.chartshapes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20.xml" ContentType="application/vnd.openxmlformats-officedocument.drawingml.chartshapes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drawings/drawing21.xml" ContentType="application/vnd.openxmlformats-officedocument.drawingml.chartshapes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drawings/drawing22.xml" ContentType="application/vnd.openxmlformats-officedocument.drawingml.chartshapes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drawings/drawing23.xml" ContentType="application/vnd.openxmlformats-officedocument.drawingml.chartshapes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24.xml" ContentType="application/vnd.openxmlformats-officedocument.drawingml.chartshapes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drawings/drawing25.xml" ContentType="application/vnd.openxmlformats-officedocument.drawingml.chartshapes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drawings/drawing26.xml" ContentType="application/vnd.openxmlformats-officedocument.drawingml.chartshapes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drawings/drawing27.xml" ContentType="application/vnd.openxmlformats-officedocument.drawingml.chartshapes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drawings/drawing28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C596C" w14:textId="4814994C" w:rsidR="007A7CA3" w:rsidRPr="009B0A12" w:rsidRDefault="00EC6AC6" w:rsidP="007A7CA3">
      <w:pPr>
        <w:jc w:val="center"/>
        <w:rPr>
          <w:b/>
          <w:bCs/>
          <w:sz w:val="32"/>
          <w:szCs w:val="32"/>
        </w:rPr>
      </w:pPr>
      <w:r w:rsidRPr="009B0A12">
        <w:rPr>
          <w:b/>
          <w:bCs/>
          <w:sz w:val="32"/>
          <w:szCs w:val="32"/>
        </w:rPr>
        <w:t>Diagnóstico para o PEE 2026-2036</w:t>
      </w:r>
    </w:p>
    <w:p w14:paraId="70FC4B77" w14:textId="77777777" w:rsidR="00E31AD9" w:rsidRDefault="00E31AD9" w:rsidP="007A7CA3">
      <w:pPr>
        <w:jc w:val="center"/>
        <w:rPr>
          <w:b/>
          <w:bCs/>
          <w:sz w:val="24"/>
          <w:szCs w:val="24"/>
        </w:rPr>
      </w:pPr>
    </w:p>
    <w:p w14:paraId="5C2EA0CA" w14:textId="77777777" w:rsidR="00665FB2" w:rsidRPr="009B0A12" w:rsidRDefault="0027635C" w:rsidP="009B0A12">
      <w:pPr>
        <w:ind w:firstLine="85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B0A1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O Estado de Goiás </w:t>
      </w:r>
      <w:r w:rsidR="00665FB2" w:rsidRPr="009B0A1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possui uma área de 340.106 km² e uma população de 7.056.495 habitantes, conforme o Censo Demográfico de 2022 do IBGE, resultando em uma densidade demográfica de 20,7 habitantes por km². O estado conta com 246 municípios de diferentes portes e condições socioeconômicas. Goiânia, a capital, concentra 1.437.366 habitantes e tem um PIB de R$ 59,8 bilhões (IBGE/2021), enquanto o município de Anhanguera é o menor em população, com apenas 924 habitantes e PIB de R$ 21,6 milhões (IBGE/2021).</w:t>
      </w:r>
    </w:p>
    <w:p w14:paraId="1F431C3C" w14:textId="77777777" w:rsidR="004B7E04" w:rsidRPr="004B7E04" w:rsidRDefault="004B7E04" w:rsidP="009B0A12">
      <w:pPr>
        <w:ind w:firstLine="85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4B7E0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pirâmide etária de Goiás revela uma maior concentração populacional na faixa etária de 10 a 19 anos, o que indica uma demanda elevada por educação básica e a necessidade de investimentos contínuos no Ensino Fundamental e Médio. O grupo de 20 a 29 anos também é expressivo, destacando a importância do acesso ao Ensino Superior e à Educação Profissional.</w:t>
      </w:r>
    </w:p>
    <w:p w14:paraId="6C9EEE94" w14:textId="77777777" w:rsidR="004B7E04" w:rsidRPr="004B7E04" w:rsidRDefault="004B7E04" w:rsidP="009B0A12">
      <w:pPr>
        <w:ind w:firstLine="85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4B7E0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Já a população acima dos 60 anos tem apresentado crescimento, o que pode impactar futuramente a Educação de Jovens e Adultos (EJA) e a demanda por cursos de formação continuada. A redução progressiva das faixas etárias mais jovens sugere a necessidade de planejamento para adaptação da rede educacional às mudanças demográficas nas próximas décadas.</w:t>
      </w:r>
    </w:p>
    <w:p w14:paraId="35C9E95E" w14:textId="77777777" w:rsidR="005613F3" w:rsidRDefault="005613F3" w:rsidP="0027635C">
      <w:pPr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3DDA3CC" w14:textId="6B9B4447" w:rsidR="005613F3" w:rsidRDefault="005613F3" w:rsidP="0027635C">
      <w:pPr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noProof/>
        </w:rPr>
        <w:drawing>
          <wp:inline distT="0" distB="0" distL="0" distR="0" wp14:anchorId="3E9743D7" wp14:editId="6ADB91AD">
            <wp:extent cx="6570980" cy="4579620"/>
            <wp:effectExtent l="0" t="0" r="1270" b="11430"/>
            <wp:docPr id="145345592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2848B26-0B12-6DA1-1CAF-AFF549854C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4780085" w14:textId="77777777" w:rsidR="00665FB2" w:rsidRPr="00665FB2" w:rsidRDefault="00665FB2" w:rsidP="009B0A12">
      <w:pPr>
        <w:ind w:firstLine="85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665FB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A evolução dos estabelecimentos de ensino, matrículas, docentes e turmas ao longo dos últimos anos demonstra um crescimento moderado no sistema educacional. A tabela a seguir apresenta esses indicadores entre 2013 e 2023:</w:t>
      </w:r>
    </w:p>
    <w:p w14:paraId="43AE816D" w14:textId="77777777" w:rsidR="005613F3" w:rsidRPr="0027635C" w:rsidRDefault="005613F3" w:rsidP="0027635C">
      <w:pPr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84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2510"/>
        <w:gridCol w:w="1658"/>
        <w:gridCol w:w="1579"/>
        <w:gridCol w:w="1715"/>
      </w:tblGrid>
      <w:tr w:rsidR="00862440" w:rsidRPr="00862440" w14:paraId="786EF78D" w14:textId="77777777" w:rsidTr="00862440">
        <w:trPr>
          <w:trHeight w:val="375"/>
          <w:jc w:val="center"/>
        </w:trPr>
        <w:tc>
          <w:tcPr>
            <w:tcW w:w="8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E4B6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</w:pPr>
            <w:r w:rsidRPr="0086244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>Dados da Educação Básica de Goiás</w:t>
            </w:r>
          </w:p>
        </w:tc>
      </w:tr>
      <w:tr w:rsidR="00862440" w:rsidRPr="00862440" w14:paraId="304EA153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C978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Ano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D423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Estabelecimentos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30DD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Matrículas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4236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Docentes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E6BC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Turmas</w:t>
            </w:r>
          </w:p>
        </w:tc>
      </w:tr>
      <w:tr w:rsidR="00862440" w:rsidRPr="00862440" w14:paraId="7CB54DC0" w14:textId="77777777" w:rsidTr="00002935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BDB3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5FFB" w14:textId="277C6B65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4.595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05DD" w14:textId="4BA50A9D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1.430.561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B56C" w14:textId="1D456819" w:rsidR="00862440" w:rsidRPr="00862440" w:rsidRDefault="00604C09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59.631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A450" w14:textId="0EE1D217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61.578</w:t>
            </w:r>
          </w:p>
        </w:tc>
      </w:tr>
      <w:tr w:rsidR="00862440" w:rsidRPr="00862440" w14:paraId="5E84E3F5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C3E6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1FDA" w14:textId="6AA692A3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4.625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CB1B" w14:textId="257F8EB5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1.440.552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ADA4" w14:textId="706927DD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60.842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3688" w14:textId="1F6B927E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61.839</w:t>
            </w:r>
          </w:p>
        </w:tc>
      </w:tr>
      <w:tr w:rsidR="00862440" w:rsidRPr="00862440" w14:paraId="29A1C57D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2511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C8B5" w14:textId="2E6DD810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4.659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7ED3" w14:textId="6741D907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1.440.298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51E6" w14:textId="0EF900AD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60.197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B7F4" w14:textId="56611EBA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61.942</w:t>
            </w:r>
          </w:p>
        </w:tc>
      </w:tr>
      <w:tr w:rsidR="00862440" w:rsidRPr="00862440" w14:paraId="3860DF4E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0894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EA23" w14:textId="6BF80E7C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4.685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086D" w14:textId="00170461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1.440.908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EA8E" w14:textId="28AABF78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61.639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22D3" w14:textId="2D298870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62.308</w:t>
            </w:r>
          </w:p>
        </w:tc>
      </w:tr>
      <w:tr w:rsidR="00862440" w:rsidRPr="00862440" w14:paraId="52A050F6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8754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931B" w14:textId="6D4604A4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4.683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5ABC" w14:textId="035143B0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1.432.261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B5A9" w14:textId="57E88EA9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61.696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0CA8" w14:textId="13CE7ED9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62.647</w:t>
            </w:r>
          </w:p>
        </w:tc>
      </w:tr>
      <w:tr w:rsidR="00862440" w:rsidRPr="00862440" w14:paraId="3DE61B83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D597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2018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F518" w14:textId="31C67C57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4.726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81A6" w14:textId="6B44D4FC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1.459.704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6E4F" w14:textId="542D13CC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63.601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9E99" w14:textId="292966E5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63.700</w:t>
            </w:r>
          </w:p>
        </w:tc>
      </w:tr>
      <w:tr w:rsidR="00862440" w:rsidRPr="00862440" w14:paraId="6B383CC4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58D1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2019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16CD" w14:textId="7798571E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4.677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9E3F" w14:textId="50CF8C9C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1.447.842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C6C2" w14:textId="03A06A29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62.599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BB38" w14:textId="4859289A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62.946</w:t>
            </w:r>
          </w:p>
        </w:tc>
      </w:tr>
      <w:tr w:rsidR="00862440" w:rsidRPr="00862440" w14:paraId="44915092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1AD8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C32F" w14:textId="44281A9D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4.644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BF6F" w14:textId="64A0F288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1.457.872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EB9A" w14:textId="60F55FA0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61.013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4A89" w14:textId="265C4234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62.699</w:t>
            </w:r>
          </w:p>
        </w:tc>
      </w:tr>
      <w:tr w:rsidR="00862440" w:rsidRPr="00862440" w14:paraId="704C86F6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D2F9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5D71" w14:textId="7689F2E2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4.638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A0B9" w14:textId="697659C9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1.420.157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CFF7" w14:textId="5AC826B6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58.100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3331" w14:textId="651652BD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61.701</w:t>
            </w:r>
          </w:p>
        </w:tc>
      </w:tr>
      <w:tr w:rsidR="00862440" w:rsidRPr="00862440" w14:paraId="46AEF023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72FF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7323" w14:textId="21B2445E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4.973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B8AA" w14:textId="3AB616BD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1.438.877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3F62" w14:textId="0367E4EE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61.781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3C1D" w14:textId="03A7B668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62.858</w:t>
            </w:r>
          </w:p>
        </w:tc>
      </w:tr>
      <w:tr w:rsidR="00862440" w:rsidRPr="00862440" w14:paraId="10114247" w14:textId="77777777" w:rsidTr="00862440">
        <w:trPr>
          <w:trHeight w:val="375"/>
          <w:jc w:val="center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531E" w14:textId="77777777" w:rsidR="00862440" w:rsidRPr="00862440" w:rsidRDefault="00862440" w:rsidP="008624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2023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8F06" w14:textId="233909E4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4.678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ACF4" w14:textId="6AF8F393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1.462.739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C2F7" w14:textId="0E62EC65" w:rsidR="00862440" w:rsidRPr="00862440" w:rsidRDefault="00002935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62.347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4BA8" w14:textId="1DF7300D" w:rsidR="00862440" w:rsidRPr="00862440" w:rsidRDefault="00862440" w:rsidP="0086244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6244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64.002</w:t>
            </w:r>
          </w:p>
        </w:tc>
      </w:tr>
      <w:tr w:rsidR="00862440" w:rsidRPr="00862440" w14:paraId="03273137" w14:textId="77777777" w:rsidTr="00862440">
        <w:trPr>
          <w:trHeight w:val="300"/>
          <w:jc w:val="center"/>
        </w:trPr>
        <w:tc>
          <w:tcPr>
            <w:tcW w:w="8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853E5" w14:textId="77777777" w:rsidR="00862440" w:rsidRPr="00862440" w:rsidRDefault="00862440" w:rsidP="008624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86244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Fonte: Censo Escolar da Educação Básica/Inep/MEC.</w:t>
            </w:r>
          </w:p>
        </w:tc>
      </w:tr>
    </w:tbl>
    <w:p w14:paraId="28C526ED" w14:textId="77777777" w:rsidR="00862440" w:rsidRPr="00665FB2" w:rsidRDefault="00862440" w:rsidP="007A7CA3">
      <w:pPr>
        <w:jc w:val="center"/>
        <w:rPr>
          <w:sz w:val="24"/>
          <w:szCs w:val="24"/>
        </w:rPr>
      </w:pPr>
    </w:p>
    <w:p w14:paraId="6129121D" w14:textId="77777777" w:rsidR="00665FB2" w:rsidRPr="009B0A12" w:rsidRDefault="00665FB2" w:rsidP="009B0A12">
      <w:pPr>
        <w:ind w:firstLine="85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B0A1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evolução das matrículas apresenta certa estabilidade, com pequenas oscilações ao longo dos anos. O número de docentes também varia, refletindo ajustes no corpo docente em relação à demanda educacional. O crescimento no número de turmas sugere uma tentativa de adequar o atendimento ao aumento pontual das matrículas.</w:t>
      </w:r>
    </w:p>
    <w:p w14:paraId="0ED1BCC2" w14:textId="77777777" w:rsidR="00862440" w:rsidRDefault="00862440" w:rsidP="007A7CA3">
      <w:pPr>
        <w:jc w:val="center"/>
        <w:rPr>
          <w:b/>
          <w:bCs/>
          <w:sz w:val="24"/>
          <w:szCs w:val="24"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"/>
        <w:gridCol w:w="826"/>
        <w:gridCol w:w="869"/>
        <w:gridCol w:w="863"/>
        <w:gridCol w:w="979"/>
        <w:gridCol w:w="993"/>
        <w:gridCol w:w="1417"/>
        <w:gridCol w:w="1418"/>
        <w:gridCol w:w="992"/>
      </w:tblGrid>
      <w:tr w:rsidR="00EE0F3C" w:rsidRPr="00EE0F3C" w14:paraId="0E6EC3C1" w14:textId="77777777" w:rsidTr="00EE0F3C">
        <w:trPr>
          <w:trHeight w:val="348"/>
          <w:jc w:val="center"/>
        </w:trPr>
        <w:tc>
          <w:tcPr>
            <w:tcW w:w="93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AF3AC7" w14:textId="5560989E" w:rsidR="00EE0F3C" w:rsidRPr="00EE0F3C" w:rsidRDefault="00EE0F3C" w:rsidP="00EE0F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</w:pPr>
            <w:r w:rsidRPr="00EE0F3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>Matrículas da Educação Básica por Etapa de Ensino</w:t>
            </w:r>
            <w:r w:rsidR="00C574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 xml:space="preserve"> – Goiás – 2023</w:t>
            </w:r>
          </w:p>
        </w:tc>
      </w:tr>
      <w:tr w:rsidR="00EE0F3C" w:rsidRPr="00EE0F3C" w14:paraId="364CCD4D" w14:textId="77777777" w:rsidTr="00F82645">
        <w:trPr>
          <w:trHeight w:val="555"/>
          <w:jc w:val="center"/>
        </w:trPr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88653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Rede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F55E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Educação Infantil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0178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Ensino Fundamental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4F21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Ensino Médio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8C77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Educação Profissional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8539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Educação de Jovens e Adultos</w:t>
            </w:r>
          </w:p>
        </w:tc>
      </w:tr>
      <w:tr w:rsidR="00F82645" w:rsidRPr="00EE0F3C" w14:paraId="5C22DC34" w14:textId="77777777" w:rsidTr="00F82645">
        <w:trPr>
          <w:trHeight w:val="542"/>
          <w:jc w:val="center"/>
        </w:trPr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C489" w14:textId="77777777" w:rsidR="00EE0F3C" w:rsidRPr="00EE0F3C" w:rsidRDefault="00EE0F3C" w:rsidP="00EE0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9323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Creche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779D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Pré-Escola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89F8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Anos Iniciais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0F6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Anos Finais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073E2" w14:textId="77777777" w:rsidR="00EE0F3C" w:rsidRPr="00EE0F3C" w:rsidRDefault="00EE0F3C" w:rsidP="00EE0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6684" w14:textId="77777777" w:rsidR="00EE0F3C" w:rsidRPr="00EE0F3C" w:rsidRDefault="00EE0F3C" w:rsidP="00EE0F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9F63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EJA Fundamental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4CBD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EJA Médio</w:t>
            </w:r>
          </w:p>
        </w:tc>
      </w:tr>
      <w:tr w:rsidR="00F82645" w:rsidRPr="00EE0F3C" w14:paraId="1466D523" w14:textId="77777777" w:rsidTr="00F82645">
        <w:trPr>
          <w:trHeight w:val="348"/>
          <w:jc w:val="center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A629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Federal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429E" w14:textId="0B465949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8B6D" w14:textId="2B342754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C13E" w14:textId="52296638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260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500C" w14:textId="5BAFE174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C530" w14:textId="210A789E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7A55" w14:textId="29C2023E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8.147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FC0C" w14:textId="77777777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4B26" w14:textId="5C92562A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786</w:t>
            </w:r>
          </w:p>
        </w:tc>
      </w:tr>
      <w:tr w:rsidR="00F82645" w:rsidRPr="00EE0F3C" w14:paraId="05800494" w14:textId="77777777" w:rsidTr="00F82645">
        <w:trPr>
          <w:trHeight w:val="348"/>
          <w:jc w:val="center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5B82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Estadual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621D" w14:textId="3AC0A3F3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F536" w14:textId="77777777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EA10" w14:textId="14FD99F6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1.394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52A8" w14:textId="7429BF99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230.257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F7FC" w14:textId="5D1E0AC8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185.683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4941" w14:textId="649081FB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F9C3" w14:textId="16D76688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7BB1" w14:textId="60853BE8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42.641</w:t>
            </w:r>
          </w:p>
        </w:tc>
      </w:tr>
      <w:tr w:rsidR="00F82645" w:rsidRPr="00EE0F3C" w14:paraId="49B566E4" w14:textId="77777777" w:rsidTr="00F82645">
        <w:trPr>
          <w:trHeight w:val="348"/>
          <w:jc w:val="center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5BFD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Municipal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B18E" w14:textId="61DE1DD0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78.531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7AB6" w14:textId="6D42D58F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132.395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8822" w14:textId="417E2EFE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385.221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6F66" w14:textId="1035D209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90.782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56DF" w14:textId="020B89FD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9967" w14:textId="77777777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4EFF1" w14:textId="3EFFFDE7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11.234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BD20" w14:textId="7DBC6972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337</w:t>
            </w:r>
          </w:p>
        </w:tc>
      </w:tr>
      <w:tr w:rsidR="00F82645" w:rsidRPr="00EE0F3C" w14:paraId="6862931F" w14:textId="77777777" w:rsidTr="00F82645">
        <w:trPr>
          <w:trHeight w:val="348"/>
          <w:jc w:val="center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12D1" w14:textId="77777777" w:rsidR="00EE0F3C" w:rsidRPr="00EE0F3C" w:rsidRDefault="00EE0F3C" w:rsidP="00EE0F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Privada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BB88" w14:textId="4CF2C6A7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23.893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47EB" w14:textId="6B49DA35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42.473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D158" w14:textId="44586A6F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98.541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080C" w14:textId="27E81D9F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61.522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5720" w14:textId="7ACCE125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31.241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4B41" w14:textId="7C324860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23.283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D448" w14:textId="300F79EC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9590" w14:textId="5CC50DB4" w:rsidR="00EE0F3C" w:rsidRPr="00EE0F3C" w:rsidRDefault="00EE0F3C" w:rsidP="00EE0F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E0F3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4.165</w:t>
            </w:r>
          </w:p>
        </w:tc>
      </w:tr>
      <w:tr w:rsidR="00EE0F3C" w:rsidRPr="00EE0F3C" w14:paraId="7493A9B2" w14:textId="77777777" w:rsidTr="00EE0F3C">
        <w:trPr>
          <w:trHeight w:val="257"/>
          <w:jc w:val="center"/>
        </w:trPr>
        <w:tc>
          <w:tcPr>
            <w:tcW w:w="935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F5FD" w14:textId="77777777" w:rsidR="00EE0F3C" w:rsidRPr="00EE0F3C" w:rsidRDefault="00EE0F3C" w:rsidP="00EE0F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E0F3C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Fonte: Censo Escolar da Educação Básica/Inep/MEC.</w:t>
            </w:r>
          </w:p>
        </w:tc>
      </w:tr>
    </w:tbl>
    <w:p w14:paraId="6AA4745B" w14:textId="77777777" w:rsidR="00862440" w:rsidRDefault="00862440" w:rsidP="007A7CA3">
      <w:pPr>
        <w:jc w:val="center"/>
        <w:rPr>
          <w:b/>
          <w:bCs/>
          <w:sz w:val="24"/>
          <w:szCs w:val="24"/>
        </w:rPr>
      </w:pPr>
    </w:p>
    <w:p w14:paraId="56FFA7A7" w14:textId="77777777" w:rsidR="00665FB2" w:rsidRPr="009B0A12" w:rsidRDefault="00665FB2" w:rsidP="009B0A12">
      <w:pPr>
        <w:ind w:firstLine="85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B0A1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distribuição das matrículas por etapa de ensino e tipo de rede revela a predominância da rede municipal na Educação Infantil e Anos Iniciais do Ensino Fundamental, enquanto o Ensino Médio é majoritariamente atendido pela rede estadual.</w:t>
      </w:r>
    </w:p>
    <w:p w14:paraId="1F5284E3" w14:textId="77777777" w:rsidR="00665FB2" w:rsidRDefault="00665FB2" w:rsidP="007A7CA3">
      <w:pPr>
        <w:jc w:val="center"/>
        <w:rPr>
          <w:b/>
          <w:bCs/>
          <w:sz w:val="24"/>
          <w:szCs w:val="24"/>
        </w:rPr>
      </w:pPr>
    </w:p>
    <w:p w14:paraId="13FEFD76" w14:textId="5CC72E92" w:rsidR="00862440" w:rsidRDefault="00247EDA" w:rsidP="007A7CA3">
      <w:pPr>
        <w:jc w:val="center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527C91" wp14:editId="74642BCC">
            <wp:extent cx="5799600" cy="3808800"/>
            <wp:effectExtent l="0" t="0" r="10795" b="1270"/>
            <wp:docPr id="26602495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9A10223-B732-3D7E-DA73-18571FD39A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BB0C87C" w14:textId="77777777" w:rsidR="00665FB2" w:rsidRDefault="00665FB2" w:rsidP="007A7CA3">
      <w:pPr>
        <w:jc w:val="center"/>
        <w:rPr>
          <w:b/>
          <w:bCs/>
          <w:sz w:val="24"/>
          <w:szCs w:val="24"/>
        </w:rPr>
      </w:pPr>
    </w:p>
    <w:p w14:paraId="6FB6477F" w14:textId="77777777" w:rsidR="004B7E04" w:rsidRPr="009B0A12" w:rsidRDefault="004B7E04" w:rsidP="009B0A12">
      <w:pPr>
        <w:ind w:firstLine="85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B0A1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 Ensino Superior em Goiás tem demonstrado crescimento significativo nos últimos anos. Em 2023, o estado contava com 127 instituições de ensino superior, sendo cinco estaduais, cinco federais, quatro municipais e 113 privadas. O número total de matrículas atingiu 307.764, com a maior parte concentrada na rede privada, que representa cerca de 79% do total.</w:t>
      </w:r>
    </w:p>
    <w:p w14:paraId="3EE1B4FE" w14:textId="77777777" w:rsidR="004B7E04" w:rsidRPr="009B0A12" w:rsidRDefault="004B7E04" w:rsidP="009B0A12">
      <w:pPr>
        <w:ind w:firstLine="85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B0A12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diversificação dos cursos acompanha esse crescimento. Em 2023, Goiás registrou 1.360 cursos de graduação, ampliando as opções de formação para os estudantes. No entanto, a evasão estudantil continua sendo um desafio, especialmente em cursos presenciais, reforçando a necessidade de estratégias para apoio acadêmico e assistência estudantil.</w:t>
      </w:r>
    </w:p>
    <w:p w14:paraId="00AFE207" w14:textId="77777777" w:rsidR="00665FB2" w:rsidRDefault="00665FB2" w:rsidP="007A7CA3">
      <w:pPr>
        <w:jc w:val="center"/>
        <w:rPr>
          <w:b/>
          <w:bCs/>
          <w:sz w:val="24"/>
          <w:szCs w:val="24"/>
        </w:rPr>
      </w:pPr>
    </w:p>
    <w:tbl>
      <w:tblPr>
        <w:tblW w:w="72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1460"/>
        <w:gridCol w:w="1755"/>
        <w:gridCol w:w="1553"/>
        <w:gridCol w:w="1244"/>
      </w:tblGrid>
      <w:tr w:rsidR="00927F41" w:rsidRPr="00927F41" w14:paraId="0BF54A2B" w14:textId="77777777" w:rsidTr="00927F41">
        <w:trPr>
          <w:trHeight w:val="300"/>
          <w:jc w:val="center"/>
        </w:trPr>
        <w:tc>
          <w:tcPr>
            <w:tcW w:w="7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088F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da Educação Superior de Goiás</w:t>
            </w:r>
          </w:p>
        </w:tc>
      </w:tr>
      <w:tr w:rsidR="00927F41" w:rsidRPr="00927F41" w14:paraId="4CC29615" w14:textId="77777777" w:rsidTr="00927F41">
        <w:trPr>
          <w:trHeight w:val="30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FC9B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Ano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ADDB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Instituições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ABCF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Matrículas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F0AC6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Docentes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4165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Cursos</w:t>
            </w:r>
          </w:p>
        </w:tc>
      </w:tr>
      <w:tr w:rsidR="00927F41" w:rsidRPr="00927F41" w14:paraId="4D7FFF6C" w14:textId="77777777" w:rsidTr="00927F41">
        <w:trPr>
          <w:trHeight w:val="30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8E07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79B0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11EE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 265.520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ABC2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12.377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F237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1.303 </w:t>
            </w:r>
          </w:p>
        </w:tc>
      </w:tr>
      <w:tr w:rsidR="00927F41" w:rsidRPr="00927F41" w14:paraId="264FD0D0" w14:textId="77777777" w:rsidTr="00927F41">
        <w:trPr>
          <w:trHeight w:val="30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AB19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C841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105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4E37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 261.262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65D55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11.806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7F6A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1.310 </w:t>
            </w:r>
          </w:p>
        </w:tc>
      </w:tr>
      <w:tr w:rsidR="00927F41" w:rsidRPr="00927F41" w14:paraId="7E9B89F8" w14:textId="77777777" w:rsidTr="00927F41">
        <w:trPr>
          <w:trHeight w:val="30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8417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5FF7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5901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 280.974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3FC5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11.495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628E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1.329 </w:t>
            </w:r>
          </w:p>
        </w:tc>
      </w:tr>
      <w:tr w:rsidR="00927F41" w:rsidRPr="00927F41" w14:paraId="08B42EB1" w14:textId="77777777" w:rsidTr="00927F41">
        <w:trPr>
          <w:trHeight w:val="30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EBA0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2EC4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06A6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 290.085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C1EE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11.660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A711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1.357 </w:t>
            </w:r>
          </w:p>
        </w:tc>
      </w:tr>
      <w:tr w:rsidR="00927F41" w:rsidRPr="00927F41" w14:paraId="3E6C0EBF" w14:textId="77777777" w:rsidTr="00927F41">
        <w:trPr>
          <w:trHeight w:val="30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E4EA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A9B7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127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C0F8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 307.764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F515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11.865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24BC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1.360 </w:t>
            </w:r>
          </w:p>
        </w:tc>
      </w:tr>
      <w:tr w:rsidR="00927F41" w:rsidRPr="00927F41" w14:paraId="5D4F09F9" w14:textId="77777777" w:rsidTr="00927F41">
        <w:trPr>
          <w:trHeight w:val="300"/>
          <w:jc w:val="center"/>
        </w:trPr>
        <w:tc>
          <w:tcPr>
            <w:tcW w:w="7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960B" w14:textId="77777777" w:rsidR="00927F41" w:rsidRPr="00927F41" w:rsidRDefault="00927F41" w:rsidP="00927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Fonte: Censo da Educação Superior/Inep/MEC.</w:t>
            </w:r>
          </w:p>
        </w:tc>
      </w:tr>
    </w:tbl>
    <w:p w14:paraId="47866677" w14:textId="77777777" w:rsidR="00927F41" w:rsidRDefault="00927F41" w:rsidP="007A7CA3">
      <w:pPr>
        <w:jc w:val="center"/>
        <w:rPr>
          <w:b/>
          <w:bCs/>
          <w:sz w:val="24"/>
          <w:szCs w:val="24"/>
        </w:rPr>
      </w:pPr>
    </w:p>
    <w:p w14:paraId="1DFA1492" w14:textId="77777777" w:rsidR="00665FB2" w:rsidRDefault="00665FB2" w:rsidP="007A7CA3">
      <w:pPr>
        <w:jc w:val="center"/>
        <w:rPr>
          <w:b/>
          <w:bCs/>
          <w:sz w:val="24"/>
          <w:szCs w:val="24"/>
        </w:rPr>
      </w:pPr>
    </w:p>
    <w:p w14:paraId="2E8C60BF" w14:textId="77777777" w:rsidR="009B0A12" w:rsidRDefault="009B0A12" w:rsidP="007A7CA3">
      <w:pPr>
        <w:jc w:val="center"/>
        <w:rPr>
          <w:b/>
          <w:bCs/>
          <w:sz w:val="24"/>
          <w:szCs w:val="24"/>
        </w:rPr>
      </w:pPr>
    </w:p>
    <w:p w14:paraId="6FC69CA7" w14:textId="77777777" w:rsidR="009B0A12" w:rsidRDefault="009B0A12" w:rsidP="007A7CA3">
      <w:pPr>
        <w:jc w:val="center"/>
        <w:rPr>
          <w:b/>
          <w:bCs/>
          <w:sz w:val="24"/>
          <w:szCs w:val="24"/>
        </w:rPr>
      </w:pPr>
    </w:p>
    <w:p w14:paraId="6566621A" w14:textId="77777777" w:rsidR="009B0A12" w:rsidRDefault="009B0A12" w:rsidP="007A7CA3">
      <w:pPr>
        <w:jc w:val="center"/>
        <w:rPr>
          <w:b/>
          <w:bCs/>
          <w:sz w:val="24"/>
          <w:szCs w:val="24"/>
        </w:rPr>
      </w:pPr>
    </w:p>
    <w:tbl>
      <w:tblPr>
        <w:tblW w:w="66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127"/>
        <w:gridCol w:w="2268"/>
      </w:tblGrid>
      <w:tr w:rsidR="00927F41" w:rsidRPr="00927F41" w14:paraId="6754B40B" w14:textId="77777777" w:rsidTr="00927F41">
        <w:trPr>
          <w:trHeight w:val="300"/>
          <w:jc w:val="center"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4B0C" w14:textId="3F2DF403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Instituições e Matrículas da Educação Superior por Rede – Goiás</w:t>
            </w:r>
            <w:r w:rsidR="004977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- 2023</w:t>
            </w:r>
          </w:p>
        </w:tc>
      </w:tr>
      <w:tr w:rsidR="00927F41" w:rsidRPr="00927F41" w14:paraId="6F040CB4" w14:textId="77777777" w:rsidTr="00927F41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BFC0A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Rede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E7A6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Instituições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380E2" w14:textId="77777777" w:rsidR="00927F41" w:rsidRPr="00927F41" w:rsidRDefault="00927F41" w:rsidP="00927F4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t-BR"/>
                <w14:ligatures w14:val="none"/>
              </w:rPr>
              <w:t>Matrículas</w:t>
            </w:r>
          </w:p>
        </w:tc>
      </w:tr>
      <w:tr w:rsidR="00927F41" w:rsidRPr="00927F41" w14:paraId="01A8EF70" w14:textId="77777777" w:rsidTr="00927F41">
        <w:trPr>
          <w:trHeight w:val="30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54D9" w14:textId="77777777" w:rsidR="00927F41" w:rsidRPr="00927F41" w:rsidRDefault="00927F41" w:rsidP="00927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Estadual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BB43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B62E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 12.622 </w:t>
            </w:r>
          </w:p>
        </w:tc>
      </w:tr>
      <w:tr w:rsidR="00927F41" w:rsidRPr="00927F41" w14:paraId="789D1442" w14:textId="77777777" w:rsidTr="00927F41">
        <w:trPr>
          <w:trHeight w:val="30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554F" w14:textId="77777777" w:rsidR="00927F41" w:rsidRPr="00927F41" w:rsidRDefault="00927F41" w:rsidP="00927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Federal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8554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AD5A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 37.193 </w:t>
            </w:r>
          </w:p>
        </w:tc>
      </w:tr>
      <w:tr w:rsidR="00927F41" w:rsidRPr="00927F41" w14:paraId="5442D629" w14:textId="77777777" w:rsidTr="00927F41">
        <w:trPr>
          <w:trHeight w:val="30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1B84" w14:textId="77777777" w:rsidR="00927F41" w:rsidRPr="00927F41" w:rsidRDefault="00927F41" w:rsidP="00927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Municipal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7463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E735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  15.245 </w:t>
            </w:r>
          </w:p>
        </w:tc>
      </w:tr>
      <w:tr w:rsidR="00927F41" w:rsidRPr="00927F41" w14:paraId="65F6B238" w14:textId="77777777" w:rsidTr="00927F41">
        <w:trPr>
          <w:trHeight w:val="300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ED10B" w14:textId="77777777" w:rsidR="00927F41" w:rsidRPr="00927F41" w:rsidRDefault="00927F41" w:rsidP="00927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Privada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46EB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A0DA" w14:textId="77777777" w:rsidR="00927F41" w:rsidRPr="00927F41" w:rsidRDefault="00927F41" w:rsidP="00927F4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 xml:space="preserve">            242.704 </w:t>
            </w:r>
          </w:p>
        </w:tc>
      </w:tr>
      <w:tr w:rsidR="00927F41" w:rsidRPr="00927F41" w14:paraId="1B7392B3" w14:textId="77777777" w:rsidTr="00927F41">
        <w:trPr>
          <w:trHeight w:val="300"/>
          <w:jc w:val="center"/>
        </w:trPr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052E" w14:textId="77777777" w:rsidR="00927F41" w:rsidRPr="00927F41" w:rsidRDefault="00927F41" w:rsidP="00927F4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927F4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Fonte: Censo da Educação Superior/Inep/MEC.</w:t>
            </w:r>
          </w:p>
        </w:tc>
      </w:tr>
    </w:tbl>
    <w:p w14:paraId="7D0C23D7" w14:textId="77777777" w:rsidR="00927F41" w:rsidRDefault="00927F41" w:rsidP="007A7CA3">
      <w:pPr>
        <w:jc w:val="center"/>
        <w:rPr>
          <w:b/>
          <w:bCs/>
          <w:sz w:val="24"/>
          <w:szCs w:val="24"/>
        </w:rPr>
      </w:pPr>
    </w:p>
    <w:p w14:paraId="70FB299D" w14:textId="77777777" w:rsidR="00927F41" w:rsidRDefault="00927F41" w:rsidP="007A7CA3">
      <w:pPr>
        <w:jc w:val="center"/>
        <w:rPr>
          <w:b/>
          <w:bCs/>
          <w:sz w:val="24"/>
          <w:szCs w:val="24"/>
        </w:rPr>
      </w:pPr>
    </w:p>
    <w:p w14:paraId="4157CC89" w14:textId="09888C4B" w:rsidR="00E31AD9" w:rsidRPr="00AE40BA" w:rsidRDefault="00E31AD9" w:rsidP="00E31AD9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00E31AD9">
        <w:rPr>
          <w:b/>
          <w:bCs/>
          <w:sz w:val="28"/>
          <w:szCs w:val="28"/>
        </w:rPr>
        <w:t>Acesso à Educação</w:t>
      </w:r>
    </w:p>
    <w:p w14:paraId="6C4D3F0D" w14:textId="1B3F0116" w:rsidR="00AE40BA" w:rsidRPr="00AE40BA" w:rsidRDefault="00AE40BA" w:rsidP="009B0A12">
      <w:pPr>
        <w:ind w:left="360" w:firstLine="491"/>
        <w:jc w:val="both"/>
        <w:rPr>
          <w:sz w:val="28"/>
          <w:szCs w:val="28"/>
        </w:rPr>
      </w:pPr>
      <w:r w:rsidRPr="00AE40BA">
        <w:rPr>
          <w:sz w:val="28"/>
          <w:szCs w:val="28"/>
        </w:rPr>
        <w:t xml:space="preserve">Os indicadores de acesso à educação revelam avanços significativos na ampliação da cobertura educacional em diversas etapas, mas ainda persistem desafios em determinados segmentos. A educação infantil, por exemplo, apresenta avanços na </w:t>
      </w:r>
      <w:r w:rsidR="00C55E97">
        <w:rPr>
          <w:sz w:val="28"/>
          <w:szCs w:val="28"/>
        </w:rPr>
        <w:t xml:space="preserve">busca pela </w:t>
      </w:r>
      <w:r w:rsidRPr="00AE40BA">
        <w:rPr>
          <w:sz w:val="28"/>
          <w:szCs w:val="28"/>
        </w:rPr>
        <w:t xml:space="preserve">universalização da pré-escola, enquanto a oferta de creches para crianças de 0 a 3 anos ainda é insuficiente. No ensino fundamental, há um aumento na taxa de atendimento, mas a </w:t>
      </w:r>
      <w:r w:rsidR="009B0A12">
        <w:rPr>
          <w:sz w:val="28"/>
          <w:szCs w:val="28"/>
        </w:rPr>
        <w:t xml:space="preserve">matrícula líquida, </w:t>
      </w:r>
      <w:r w:rsidR="00275C5A">
        <w:rPr>
          <w:sz w:val="28"/>
          <w:szCs w:val="28"/>
        </w:rPr>
        <w:t>medida da</w:t>
      </w:r>
      <w:r w:rsidR="009B0A12">
        <w:rPr>
          <w:sz w:val="28"/>
          <w:szCs w:val="28"/>
        </w:rPr>
        <w:t xml:space="preserve"> </w:t>
      </w:r>
      <w:r w:rsidRPr="00AE40BA">
        <w:rPr>
          <w:sz w:val="28"/>
          <w:szCs w:val="28"/>
        </w:rPr>
        <w:t>distorção idade-série</w:t>
      </w:r>
      <w:r w:rsidR="00275C5A">
        <w:rPr>
          <w:sz w:val="28"/>
          <w:szCs w:val="28"/>
        </w:rPr>
        <w:t>,</w:t>
      </w:r>
      <w:r w:rsidRPr="00AE40BA">
        <w:rPr>
          <w:sz w:val="28"/>
          <w:szCs w:val="28"/>
        </w:rPr>
        <w:t xml:space="preserve"> permanece como um desafio. Já no ensino médio, a taxa de matrículas cresceu, mas a evasão escolar continua preocupante, indicando a necessidade de políticas voltadas à permanência estudantil</w:t>
      </w:r>
      <w:r w:rsidR="00275C5A">
        <w:rPr>
          <w:sz w:val="28"/>
          <w:szCs w:val="28"/>
        </w:rPr>
        <w:t xml:space="preserve"> e para a redução da distorção idade-série</w:t>
      </w:r>
      <w:r w:rsidRPr="00AE40BA">
        <w:rPr>
          <w:sz w:val="28"/>
          <w:szCs w:val="28"/>
        </w:rPr>
        <w:t>.</w:t>
      </w:r>
    </w:p>
    <w:p w14:paraId="13883B07" w14:textId="77777777" w:rsidR="00AE40BA" w:rsidRPr="00E31AD9" w:rsidRDefault="00AE40BA" w:rsidP="00AE40BA">
      <w:pPr>
        <w:pStyle w:val="PargrafodaLista"/>
        <w:rPr>
          <w:b/>
          <w:bCs/>
          <w:sz w:val="24"/>
          <w:szCs w:val="24"/>
        </w:rPr>
      </w:pPr>
    </w:p>
    <w:p w14:paraId="455239F3" w14:textId="45E67753" w:rsidR="009F1A82" w:rsidRDefault="00374BD8" w:rsidP="007A7CA3">
      <w:pPr>
        <w:jc w:val="center"/>
      </w:pPr>
      <w:r>
        <w:rPr>
          <w:noProof/>
        </w:rPr>
        <w:drawing>
          <wp:inline distT="0" distB="0" distL="0" distR="0" wp14:anchorId="357C878A" wp14:editId="0E480506">
            <wp:extent cx="5799600" cy="3808800"/>
            <wp:effectExtent l="0" t="0" r="10795" b="1270"/>
            <wp:docPr id="25693679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A7CA3">
        <w:br w:type="textWrapping" w:clear="all"/>
      </w:r>
    </w:p>
    <w:p w14:paraId="47271FCD" w14:textId="544227B8" w:rsidR="007A7CA3" w:rsidRDefault="00374BD8" w:rsidP="007A7CA3">
      <w:pPr>
        <w:jc w:val="center"/>
      </w:pPr>
      <w:r>
        <w:rPr>
          <w:noProof/>
        </w:rPr>
        <w:lastRenderedPageBreak/>
        <w:drawing>
          <wp:inline distT="0" distB="0" distL="0" distR="0" wp14:anchorId="08FAA21A" wp14:editId="7BE5073C">
            <wp:extent cx="5800725" cy="3810000"/>
            <wp:effectExtent l="0" t="0" r="9525" b="0"/>
            <wp:docPr id="160802065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1F05F60" w14:textId="0A16EF42" w:rsidR="00374BD8" w:rsidRDefault="00374BD8" w:rsidP="007A7CA3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CE576AB" wp14:editId="4F5550E7">
            <wp:extent cx="5799600" cy="3808800"/>
            <wp:effectExtent l="0" t="0" r="10795" b="1270"/>
            <wp:docPr id="46249659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16ABD55" w14:textId="77777777" w:rsidR="00374BD8" w:rsidRDefault="00374BD8" w:rsidP="007A7CA3">
      <w:pPr>
        <w:jc w:val="center"/>
        <w:rPr>
          <w:b/>
          <w:bCs/>
          <w:sz w:val="28"/>
          <w:szCs w:val="28"/>
        </w:rPr>
      </w:pPr>
    </w:p>
    <w:p w14:paraId="13F54B02" w14:textId="7A8A04A1" w:rsidR="000E7BA6" w:rsidRDefault="00374BD8" w:rsidP="007A7CA3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E08A5A" wp14:editId="7CA4AA25">
            <wp:extent cx="5799600" cy="3808800"/>
            <wp:effectExtent l="0" t="0" r="10795" b="1270"/>
            <wp:docPr id="103114430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B505F60" w14:textId="1971B506" w:rsidR="000E7BA6" w:rsidRDefault="00803692" w:rsidP="007A7CA3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A3A6BAA" wp14:editId="0DA96DFB">
            <wp:extent cx="5799600" cy="3808800"/>
            <wp:effectExtent l="0" t="0" r="10795" b="1270"/>
            <wp:docPr id="182554104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2835D2B-28FC-4B8B-5D7F-3C23DA8B70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AABD268" w14:textId="7AF74C2F" w:rsidR="000E7BA6" w:rsidRDefault="00374BD8" w:rsidP="000E7BA6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C32A1F4" wp14:editId="38BCB1BC">
            <wp:extent cx="5799600" cy="3808800"/>
            <wp:effectExtent l="0" t="0" r="10795" b="1270"/>
            <wp:docPr id="103026013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B5F6C3E" w14:textId="509CB02B" w:rsidR="000E7BA6" w:rsidRDefault="00393D78" w:rsidP="007A7CA3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1F47AD" wp14:editId="1E01170E">
            <wp:extent cx="5799600" cy="3808800"/>
            <wp:effectExtent l="0" t="0" r="10795" b="1270"/>
            <wp:docPr id="13489411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24AEEBF" w14:textId="75E3505C" w:rsidR="00CA75A8" w:rsidRDefault="00DF0CD3" w:rsidP="007A7CA3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8EC9BE" wp14:editId="1ACF99D0">
            <wp:extent cx="5799600" cy="3808800"/>
            <wp:effectExtent l="0" t="0" r="10795" b="1270"/>
            <wp:docPr id="86993567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9DC2E54" w14:textId="77777777" w:rsidR="00DF0CD3" w:rsidRDefault="00DF0CD3" w:rsidP="007A7CA3">
      <w:pPr>
        <w:jc w:val="center"/>
        <w:rPr>
          <w:b/>
          <w:bCs/>
          <w:sz w:val="28"/>
          <w:szCs w:val="28"/>
        </w:rPr>
      </w:pPr>
    </w:p>
    <w:p w14:paraId="720D28D6" w14:textId="7DE49A17" w:rsidR="00DF0CD3" w:rsidRDefault="00DF0CD3" w:rsidP="007A7CA3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F86A67" wp14:editId="5C2A20D2">
            <wp:extent cx="5799600" cy="3808800"/>
            <wp:effectExtent l="0" t="0" r="10795" b="1270"/>
            <wp:docPr id="56070943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98C9FF2" w14:textId="516A4FFA" w:rsidR="00DF0CD3" w:rsidRDefault="007E6ECD" w:rsidP="007A7CA3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68AFA84" wp14:editId="4323BD6E">
            <wp:extent cx="5799600" cy="3808800"/>
            <wp:effectExtent l="0" t="0" r="10795" b="1270"/>
            <wp:docPr id="74150344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6CEC80B-BA30-EE3C-F39F-F7FC30F726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0D058D0" w14:textId="77777777" w:rsidR="00AE40BA" w:rsidRDefault="00AE40BA" w:rsidP="00AE40BA">
      <w:pPr>
        <w:jc w:val="both"/>
        <w:rPr>
          <w:sz w:val="28"/>
          <w:szCs w:val="28"/>
        </w:rPr>
      </w:pPr>
    </w:p>
    <w:p w14:paraId="79119AE5" w14:textId="77777777" w:rsidR="00AE40BA" w:rsidRDefault="00AE40BA" w:rsidP="00CA75A8">
      <w:pPr>
        <w:jc w:val="center"/>
        <w:rPr>
          <w:b/>
          <w:bCs/>
          <w:sz w:val="28"/>
          <w:szCs w:val="28"/>
        </w:rPr>
      </w:pPr>
    </w:p>
    <w:p w14:paraId="42563FD1" w14:textId="3D9C92D7" w:rsidR="007E6ECD" w:rsidRDefault="007E6ECD" w:rsidP="007E6ECD">
      <w:pPr>
        <w:pStyle w:val="PargrafodaLista"/>
        <w:numPr>
          <w:ilvl w:val="0"/>
          <w:numId w:val="1"/>
        </w:numPr>
        <w:rPr>
          <w:b/>
          <w:bCs/>
          <w:sz w:val="28"/>
          <w:szCs w:val="28"/>
        </w:rPr>
      </w:pPr>
      <w:r w:rsidRPr="00D936AA">
        <w:rPr>
          <w:b/>
          <w:bCs/>
          <w:sz w:val="28"/>
          <w:szCs w:val="28"/>
        </w:rPr>
        <w:t>Qualidade da Aprendizagem</w:t>
      </w:r>
    </w:p>
    <w:p w14:paraId="106A2E9B" w14:textId="12AFFF32" w:rsidR="00AE40BA" w:rsidRDefault="00AE40BA" w:rsidP="009B0A12">
      <w:pPr>
        <w:ind w:left="360" w:firstLine="491"/>
        <w:jc w:val="both"/>
        <w:rPr>
          <w:sz w:val="28"/>
          <w:szCs w:val="28"/>
        </w:rPr>
      </w:pPr>
      <w:r w:rsidRPr="00AE40BA">
        <w:rPr>
          <w:sz w:val="28"/>
          <w:szCs w:val="28"/>
        </w:rPr>
        <w:t xml:space="preserve">Os resultados do IDEB apontam para avanços na qualidade da educação. </w:t>
      </w:r>
      <w:r w:rsidR="00275C5A">
        <w:rPr>
          <w:sz w:val="28"/>
          <w:szCs w:val="28"/>
        </w:rPr>
        <w:t xml:space="preserve">Goiás desponta como um dos melhores estados no alcance dos resultados nesse índice. </w:t>
      </w:r>
      <w:r w:rsidRPr="00AE40BA">
        <w:rPr>
          <w:sz w:val="28"/>
          <w:szCs w:val="28"/>
        </w:rPr>
        <w:t xml:space="preserve">No ensino fundamental, os anos iniciais apresentam um desempenho superior aos anos finais, evidenciando a necessidade de reforço nos anos posteriores para garantir a consolidação da aprendizagem. O ensino médio, por sua vez, </w:t>
      </w:r>
      <w:r w:rsidR="00275C5A">
        <w:rPr>
          <w:sz w:val="28"/>
          <w:szCs w:val="28"/>
        </w:rPr>
        <w:t xml:space="preserve">apesar do relevante resultado no cenário nacional, ainda </w:t>
      </w:r>
      <w:r w:rsidRPr="00AE40BA">
        <w:rPr>
          <w:sz w:val="28"/>
          <w:szCs w:val="28"/>
        </w:rPr>
        <w:t>enfrenta desafios para elevar o nível de proficiência dos estudantes.</w:t>
      </w:r>
    </w:p>
    <w:p w14:paraId="0DBB4806" w14:textId="5B9F8CB4" w:rsidR="00AE40BA" w:rsidRPr="00AE40BA" w:rsidRDefault="00275C5A" w:rsidP="00275C5A">
      <w:pPr>
        <w:ind w:left="360" w:firstLine="491"/>
        <w:jc w:val="both"/>
        <w:rPr>
          <w:sz w:val="28"/>
          <w:szCs w:val="28"/>
        </w:rPr>
      </w:pPr>
      <w:r w:rsidRPr="00AE40BA">
        <w:rPr>
          <w:sz w:val="28"/>
          <w:szCs w:val="28"/>
        </w:rPr>
        <w:t>A alfabetização na idade certa tem melhorado, mas ainda há desigualdades regionais que precisam ser abordadas por meio de políticas específicas.</w:t>
      </w:r>
    </w:p>
    <w:p w14:paraId="42F4C6D1" w14:textId="0D67EE97" w:rsidR="00CA75A8" w:rsidRDefault="00D55CD3" w:rsidP="00CA75A8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38D3D8" wp14:editId="281D975E">
            <wp:extent cx="5799600" cy="3808800"/>
            <wp:effectExtent l="0" t="0" r="10795" b="1270"/>
            <wp:docPr id="178044692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D963669-C723-7923-3A8E-811AA01E3F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5416C8F" w14:textId="4050F696" w:rsidR="00B01C66" w:rsidRDefault="00B01C66" w:rsidP="00CA75A8">
      <w:pPr>
        <w:jc w:val="center"/>
        <w:rPr>
          <w:b/>
          <w:bCs/>
          <w:sz w:val="28"/>
          <w:szCs w:val="28"/>
        </w:rPr>
      </w:pPr>
    </w:p>
    <w:p w14:paraId="4ACD2B26" w14:textId="0E41F90E" w:rsidR="00B01C66" w:rsidRDefault="00E31AD9" w:rsidP="00CA75A8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3FC3799" wp14:editId="2164AAD6">
            <wp:extent cx="5799600" cy="3808800"/>
            <wp:effectExtent l="0" t="0" r="10795" b="1270"/>
            <wp:docPr id="54626061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08D758B-8565-B397-BF3F-55E67DD70F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11D1515" w14:textId="1FB55E3E" w:rsidR="00B01C66" w:rsidRDefault="00B01C66" w:rsidP="00CA75A8">
      <w:pPr>
        <w:jc w:val="center"/>
        <w:rPr>
          <w:b/>
          <w:bCs/>
          <w:sz w:val="28"/>
          <w:szCs w:val="28"/>
        </w:rPr>
      </w:pPr>
    </w:p>
    <w:p w14:paraId="6ED9C0BA" w14:textId="5A0EEDFF" w:rsidR="00014C94" w:rsidRDefault="0020671A" w:rsidP="00CA75A8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CD2AC1" wp14:editId="50DEE12B">
            <wp:extent cx="5799600" cy="3808800"/>
            <wp:effectExtent l="0" t="0" r="10795" b="1270"/>
            <wp:docPr id="121174367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F917EBE" w14:textId="018ED5A4" w:rsidR="00014C94" w:rsidRDefault="0020671A" w:rsidP="00CA75A8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A6ACD9" wp14:editId="04142385">
            <wp:extent cx="5799600" cy="3808800"/>
            <wp:effectExtent l="0" t="0" r="10795" b="1270"/>
            <wp:docPr id="102477797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1EBBBED" w14:textId="77777777" w:rsidR="00014C94" w:rsidRDefault="00014C94" w:rsidP="00CA75A8">
      <w:pPr>
        <w:jc w:val="center"/>
        <w:rPr>
          <w:b/>
          <w:bCs/>
          <w:sz w:val="28"/>
          <w:szCs w:val="28"/>
        </w:rPr>
      </w:pPr>
    </w:p>
    <w:p w14:paraId="6DB91EC2" w14:textId="5677201E" w:rsidR="007E6ECD" w:rsidRDefault="007E6ECD" w:rsidP="007E6ECD">
      <w:pPr>
        <w:pStyle w:val="PargrafodaLista"/>
        <w:numPr>
          <w:ilvl w:val="0"/>
          <w:numId w:val="1"/>
        </w:numPr>
        <w:rPr>
          <w:b/>
          <w:bCs/>
          <w:sz w:val="28"/>
          <w:szCs w:val="28"/>
        </w:rPr>
      </w:pPr>
      <w:r w:rsidRPr="00D936AA">
        <w:rPr>
          <w:b/>
          <w:bCs/>
          <w:sz w:val="28"/>
          <w:szCs w:val="28"/>
        </w:rPr>
        <w:t>Inclusão e Diversidade</w:t>
      </w:r>
    </w:p>
    <w:p w14:paraId="675B2168" w14:textId="5ABA6419" w:rsidR="00AE40BA" w:rsidRPr="00AE40BA" w:rsidRDefault="00AE40BA" w:rsidP="009B0A12">
      <w:pPr>
        <w:ind w:left="360" w:firstLine="491"/>
        <w:jc w:val="both"/>
        <w:rPr>
          <w:sz w:val="28"/>
          <w:szCs w:val="28"/>
        </w:rPr>
      </w:pPr>
      <w:r w:rsidRPr="00AE40BA">
        <w:rPr>
          <w:sz w:val="28"/>
          <w:szCs w:val="28"/>
        </w:rPr>
        <w:t>A inclusão de estudantes com deficiência nas escolas regulares tem avançado, refletindo o compromisso com a educação inclusiva. No entanto,</w:t>
      </w:r>
      <w:r w:rsidR="00F7334D">
        <w:rPr>
          <w:sz w:val="28"/>
          <w:szCs w:val="28"/>
        </w:rPr>
        <w:t xml:space="preserve"> é necessário levar o atendimento educacional especializado a um número maior de estudantes</w:t>
      </w:r>
      <w:r w:rsidRPr="00AE40BA">
        <w:rPr>
          <w:sz w:val="28"/>
          <w:szCs w:val="28"/>
        </w:rPr>
        <w:t xml:space="preserve">. </w:t>
      </w:r>
    </w:p>
    <w:p w14:paraId="3DFE0AAC" w14:textId="77777777" w:rsidR="00AE40BA" w:rsidRPr="00AE40BA" w:rsidRDefault="00AE40BA" w:rsidP="00AE40BA">
      <w:pPr>
        <w:ind w:left="360"/>
        <w:rPr>
          <w:b/>
          <w:bCs/>
          <w:sz w:val="28"/>
          <w:szCs w:val="28"/>
        </w:rPr>
      </w:pPr>
    </w:p>
    <w:p w14:paraId="2D166A8B" w14:textId="171F45C6" w:rsidR="007E6ECD" w:rsidRDefault="007E6ECD" w:rsidP="007E6ECD">
      <w:pPr>
        <w:pStyle w:val="PargrafodaLista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5C47BA6" wp14:editId="754FC1D7">
            <wp:extent cx="5799600" cy="3808800"/>
            <wp:effectExtent l="0" t="0" r="10795" b="1270"/>
            <wp:docPr id="10656440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FD06D62" w14:textId="77777777" w:rsidR="007E6ECD" w:rsidRDefault="007E6ECD" w:rsidP="007E6ECD">
      <w:pPr>
        <w:pStyle w:val="PargrafodaLista"/>
        <w:rPr>
          <w:b/>
          <w:bCs/>
          <w:sz w:val="28"/>
          <w:szCs w:val="28"/>
        </w:rPr>
      </w:pPr>
    </w:p>
    <w:p w14:paraId="7D95EE2E" w14:textId="7BDF5EE2" w:rsidR="007E6ECD" w:rsidRDefault="007E6ECD" w:rsidP="007E6ECD">
      <w:pPr>
        <w:pStyle w:val="PargrafodaLista"/>
        <w:ind w:left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47EDD3" wp14:editId="541BFDCC">
            <wp:extent cx="5799600" cy="3808800"/>
            <wp:effectExtent l="0" t="0" r="10795" b="1270"/>
            <wp:docPr id="147476337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C0D6649" w14:textId="77777777" w:rsidR="00AE40BA" w:rsidRDefault="00AE40BA" w:rsidP="007E6ECD">
      <w:pPr>
        <w:pStyle w:val="PargrafodaLista"/>
        <w:ind w:left="0"/>
        <w:jc w:val="center"/>
        <w:rPr>
          <w:b/>
          <w:bCs/>
          <w:sz w:val="28"/>
          <w:szCs w:val="28"/>
        </w:rPr>
      </w:pPr>
    </w:p>
    <w:p w14:paraId="541BE8C6" w14:textId="41F75C44" w:rsidR="007E6ECD" w:rsidRDefault="007E6ECD" w:rsidP="007E6ECD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9B7950" wp14:editId="5BF51880">
            <wp:extent cx="5799600" cy="3808800"/>
            <wp:effectExtent l="0" t="0" r="10795" b="1270"/>
            <wp:docPr id="148513097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2441AA5" w14:textId="77777777" w:rsidR="007E6ECD" w:rsidRDefault="007E6ECD" w:rsidP="007E6ECD">
      <w:pPr>
        <w:rPr>
          <w:b/>
          <w:bCs/>
          <w:sz w:val="28"/>
          <w:szCs w:val="28"/>
        </w:rPr>
      </w:pPr>
    </w:p>
    <w:p w14:paraId="5550B0C0" w14:textId="77777777" w:rsidR="00AE40BA" w:rsidRDefault="00AE40BA" w:rsidP="007E6ECD">
      <w:pPr>
        <w:rPr>
          <w:b/>
          <w:bCs/>
          <w:sz w:val="28"/>
          <w:szCs w:val="28"/>
        </w:rPr>
      </w:pPr>
    </w:p>
    <w:p w14:paraId="65FFB5AB" w14:textId="21EFA6E6" w:rsidR="007E6ECD" w:rsidRDefault="007E6ECD" w:rsidP="00AE40BA">
      <w:pPr>
        <w:pStyle w:val="PargrafodaLista"/>
        <w:numPr>
          <w:ilvl w:val="0"/>
          <w:numId w:val="1"/>
        </w:numPr>
        <w:rPr>
          <w:b/>
          <w:bCs/>
          <w:sz w:val="28"/>
          <w:szCs w:val="28"/>
        </w:rPr>
      </w:pPr>
      <w:r w:rsidRPr="007E6ECD">
        <w:rPr>
          <w:b/>
          <w:bCs/>
          <w:sz w:val="28"/>
          <w:szCs w:val="28"/>
        </w:rPr>
        <w:t>Educação Profissional e Ensino Superior</w:t>
      </w:r>
    </w:p>
    <w:p w14:paraId="40AC9A11" w14:textId="77777777" w:rsidR="00F7334D" w:rsidRDefault="00AE40BA" w:rsidP="009B0A12">
      <w:pPr>
        <w:ind w:left="360" w:firstLine="491"/>
        <w:jc w:val="both"/>
        <w:rPr>
          <w:sz w:val="28"/>
          <w:szCs w:val="28"/>
        </w:rPr>
      </w:pPr>
      <w:r w:rsidRPr="00AE40BA">
        <w:rPr>
          <w:sz w:val="28"/>
          <w:szCs w:val="28"/>
        </w:rPr>
        <w:t xml:space="preserve">A educação profissional vem se expandindo, favorecendo a inserção de jovens no mercado de trabalho. No entanto, ainda há desafios </w:t>
      </w:r>
      <w:r w:rsidR="00F7334D">
        <w:rPr>
          <w:sz w:val="28"/>
          <w:szCs w:val="28"/>
        </w:rPr>
        <w:t>na oferta de vagas nas redes públicas</w:t>
      </w:r>
      <w:r w:rsidRPr="00AE40BA">
        <w:rPr>
          <w:sz w:val="28"/>
          <w:szCs w:val="28"/>
        </w:rPr>
        <w:t xml:space="preserve">, o que impacta o acesso de estudantes </w:t>
      </w:r>
      <w:r w:rsidR="00F7334D">
        <w:rPr>
          <w:sz w:val="28"/>
          <w:szCs w:val="28"/>
        </w:rPr>
        <w:t>de baixa renda</w:t>
      </w:r>
      <w:r w:rsidRPr="00AE40BA">
        <w:rPr>
          <w:sz w:val="28"/>
          <w:szCs w:val="28"/>
        </w:rPr>
        <w:t xml:space="preserve">. </w:t>
      </w:r>
    </w:p>
    <w:p w14:paraId="3AD433F3" w14:textId="577DB0BE" w:rsidR="00AE40BA" w:rsidRPr="00AE40BA" w:rsidRDefault="00AE40BA" w:rsidP="009B0A12">
      <w:pPr>
        <w:ind w:left="360" w:firstLine="491"/>
        <w:jc w:val="both"/>
        <w:rPr>
          <w:sz w:val="28"/>
          <w:szCs w:val="28"/>
        </w:rPr>
      </w:pPr>
      <w:r w:rsidRPr="00AE40BA">
        <w:rPr>
          <w:sz w:val="28"/>
          <w:szCs w:val="28"/>
        </w:rPr>
        <w:t>O ensino superior, por sua vez, apresenta crescimento na taxa de ingresso.</w:t>
      </w:r>
      <w:r w:rsidR="00F7334D">
        <w:rPr>
          <w:sz w:val="28"/>
          <w:szCs w:val="28"/>
        </w:rPr>
        <w:t xml:space="preserve"> Contudo, o nível de atendimento da população de 18 a 24 anos necessita de ações para alcançar valores relevantes. Por outro lado, a formação dos docente</w:t>
      </w:r>
      <w:r w:rsidR="008D6DDC">
        <w:rPr>
          <w:sz w:val="28"/>
          <w:szCs w:val="28"/>
        </w:rPr>
        <w:t>s</w:t>
      </w:r>
      <w:r w:rsidR="00F7334D">
        <w:rPr>
          <w:sz w:val="28"/>
          <w:szCs w:val="28"/>
        </w:rPr>
        <w:t xml:space="preserve"> da educação superior se mostra consistente, com mais de 80% dos professores com ao menos </w:t>
      </w:r>
      <w:r w:rsidR="008A44F6">
        <w:rPr>
          <w:sz w:val="28"/>
          <w:szCs w:val="28"/>
        </w:rPr>
        <w:t>o mestrado concluído.</w:t>
      </w:r>
    </w:p>
    <w:p w14:paraId="1C59C480" w14:textId="77777777" w:rsidR="00AE40BA" w:rsidRPr="007E6ECD" w:rsidRDefault="00AE40BA" w:rsidP="00AE40BA">
      <w:pPr>
        <w:pStyle w:val="PargrafodaLista"/>
        <w:rPr>
          <w:b/>
          <w:bCs/>
          <w:sz w:val="28"/>
          <w:szCs w:val="28"/>
        </w:rPr>
      </w:pPr>
    </w:p>
    <w:p w14:paraId="7292C562" w14:textId="230AB35A" w:rsidR="00014C94" w:rsidRDefault="00014C94" w:rsidP="00014C94">
      <w:pPr>
        <w:jc w:val="center"/>
        <w:rPr>
          <w:b/>
          <w:bCs/>
          <w:sz w:val="28"/>
          <w:szCs w:val="28"/>
        </w:rPr>
      </w:pPr>
    </w:p>
    <w:p w14:paraId="695C26BE" w14:textId="2BDC0AF8" w:rsidR="00014C94" w:rsidRDefault="00EB0379" w:rsidP="00014C94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9D85F1" wp14:editId="088E175B">
            <wp:extent cx="5799600" cy="3808800"/>
            <wp:effectExtent l="0" t="0" r="10795" b="1270"/>
            <wp:docPr id="5098061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CE151AF-ED75-340A-D289-5E0475C2F4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9A80FA5" w14:textId="77777777" w:rsidR="007E6ECD" w:rsidRDefault="007E6ECD" w:rsidP="00014C94">
      <w:pPr>
        <w:jc w:val="center"/>
        <w:rPr>
          <w:b/>
          <w:bCs/>
          <w:sz w:val="28"/>
          <w:szCs w:val="28"/>
        </w:rPr>
      </w:pPr>
    </w:p>
    <w:p w14:paraId="01D598EC" w14:textId="77777777" w:rsidR="007E6ECD" w:rsidRDefault="007E6ECD" w:rsidP="00014C94">
      <w:pPr>
        <w:jc w:val="center"/>
        <w:rPr>
          <w:b/>
          <w:bCs/>
          <w:sz w:val="28"/>
          <w:szCs w:val="28"/>
        </w:rPr>
      </w:pPr>
    </w:p>
    <w:p w14:paraId="18DB6731" w14:textId="4D2D712D" w:rsidR="00E85355" w:rsidRDefault="00E85355" w:rsidP="00014C94">
      <w:pPr>
        <w:jc w:val="center"/>
        <w:rPr>
          <w:b/>
          <w:bCs/>
          <w:sz w:val="28"/>
          <w:szCs w:val="28"/>
        </w:rPr>
      </w:pPr>
    </w:p>
    <w:p w14:paraId="57065D57" w14:textId="30837B9E" w:rsidR="00E85355" w:rsidRDefault="00E85355" w:rsidP="00014C94">
      <w:pPr>
        <w:jc w:val="center"/>
        <w:rPr>
          <w:b/>
          <w:bCs/>
          <w:sz w:val="28"/>
          <w:szCs w:val="28"/>
        </w:rPr>
      </w:pPr>
    </w:p>
    <w:p w14:paraId="4340FB08" w14:textId="421D67E2" w:rsidR="00E85355" w:rsidRDefault="00EB0379" w:rsidP="00014C94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271F31" wp14:editId="59924177">
            <wp:extent cx="5799600" cy="3808800"/>
            <wp:effectExtent l="0" t="0" r="10795" b="1270"/>
            <wp:docPr id="196340056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F494BA4" w14:textId="7669FDAF" w:rsidR="00E85355" w:rsidRDefault="00EB0379" w:rsidP="00014C94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361CA2" wp14:editId="07131169">
            <wp:extent cx="5799600" cy="3808800"/>
            <wp:effectExtent l="0" t="0" r="10795" b="1270"/>
            <wp:docPr id="53774363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43D25B1" w14:textId="77777777" w:rsidR="00E85355" w:rsidRDefault="00E85355" w:rsidP="00014C94">
      <w:pPr>
        <w:jc w:val="center"/>
        <w:rPr>
          <w:b/>
          <w:bCs/>
          <w:sz w:val="28"/>
          <w:szCs w:val="28"/>
        </w:rPr>
      </w:pPr>
    </w:p>
    <w:p w14:paraId="449CBC1F" w14:textId="19EA1CDA" w:rsidR="00E85355" w:rsidRDefault="00E85355" w:rsidP="00014C94">
      <w:pPr>
        <w:jc w:val="center"/>
        <w:rPr>
          <w:b/>
          <w:bCs/>
          <w:sz w:val="28"/>
          <w:szCs w:val="28"/>
        </w:rPr>
      </w:pPr>
    </w:p>
    <w:p w14:paraId="2B598D20" w14:textId="26361E01" w:rsidR="00E85355" w:rsidRDefault="00AF2398" w:rsidP="00014C94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529D0A0" wp14:editId="419BE2BF">
            <wp:extent cx="5799600" cy="3808800"/>
            <wp:effectExtent l="0" t="0" r="10795" b="1270"/>
            <wp:docPr id="48065670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E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4C533A7" w14:textId="77777777" w:rsidR="00B25594" w:rsidRDefault="00B25594" w:rsidP="00014C94">
      <w:pPr>
        <w:jc w:val="center"/>
        <w:rPr>
          <w:b/>
          <w:bCs/>
          <w:sz w:val="28"/>
          <w:szCs w:val="28"/>
        </w:rPr>
      </w:pPr>
    </w:p>
    <w:p w14:paraId="138CED69" w14:textId="77777777" w:rsidR="00AE40BA" w:rsidRDefault="00AE40BA" w:rsidP="00014C94">
      <w:pPr>
        <w:jc w:val="center"/>
        <w:rPr>
          <w:b/>
          <w:bCs/>
          <w:sz w:val="28"/>
          <w:szCs w:val="28"/>
        </w:rPr>
      </w:pPr>
    </w:p>
    <w:p w14:paraId="03801E63" w14:textId="262792D7" w:rsidR="00B25594" w:rsidRDefault="007E6ECD" w:rsidP="007E6ECD">
      <w:pPr>
        <w:pStyle w:val="PargrafodaLista"/>
        <w:numPr>
          <w:ilvl w:val="0"/>
          <w:numId w:val="1"/>
        </w:numPr>
        <w:rPr>
          <w:b/>
          <w:bCs/>
          <w:sz w:val="28"/>
          <w:szCs w:val="28"/>
        </w:rPr>
      </w:pPr>
      <w:r w:rsidRPr="007E6ECD">
        <w:rPr>
          <w:b/>
          <w:bCs/>
          <w:sz w:val="28"/>
          <w:szCs w:val="28"/>
        </w:rPr>
        <w:lastRenderedPageBreak/>
        <w:t>Recursos</w:t>
      </w:r>
      <w:r w:rsidR="008A44F6">
        <w:rPr>
          <w:b/>
          <w:bCs/>
          <w:sz w:val="28"/>
          <w:szCs w:val="28"/>
        </w:rPr>
        <w:t xml:space="preserve"> e </w:t>
      </w:r>
      <w:r w:rsidR="008A44F6" w:rsidRPr="007E6ECD">
        <w:rPr>
          <w:b/>
          <w:bCs/>
          <w:sz w:val="28"/>
          <w:szCs w:val="28"/>
        </w:rPr>
        <w:t xml:space="preserve">Valorização dos Profissionais </w:t>
      </w:r>
      <w:r w:rsidR="008A44F6">
        <w:rPr>
          <w:b/>
          <w:bCs/>
          <w:sz w:val="28"/>
          <w:szCs w:val="28"/>
        </w:rPr>
        <w:t>da Educação</w:t>
      </w:r>
    </w:p>
    <w:p w14:paraId="0BEA6EF6" w14:textId="77777777" w:rsidR="008A44F6" w:rsidRDefault="00AE40BA" w:rsidP="009B0A12">
      <w:pPr>
        <w:ind w:left="360" w:firstLine="491"/>
        <w:jc w:val="both"/>
        <w:rPr>
          <w:sz w:val="28"/>
          <w:szCs w:val="28"/>
        </w:rPr>
      </w:pPr>
      <w:r w:rsidRPr="00AE40BA">
        <w:rPr>
          <w:sz w:val="28"/>
          <w:szCs w:val="28"/>
        </w:rPr>
        <w:t xml:space="preserve">O financiamento da educação tem crescido ao longo dos anos, </w:t>
      </w:r>
      <w:r w:rsidR="008A44F6">
        <w:rPr>
          <w:sz w:val="28"/>
          <w:szCs w:val="28"/>
        </w:rPr>
        <w:t>mas ainda longe do desejo de alcança a proporção de 10% do PIB goiano</w:t>
      </w:r>
      <w:r w:rsidRPr="00AE40BA">
        <w:rPr>
          <w:sz w:val="28"/>
          <w:szCs w:val="28"/>
        </w:rPr>
        <w:t xml:space="preserve">. </w:t>
      </w:r>
    </w:p>
    <w:p w14:paraId="75A742ED" w14:textId="3BAF880B" w:rsidR="007E6ECD" w:rsidRDefault="007E6ECD" w:rsidP="007E6ECD">
      <w:pPr>
        <w:jc w:val="center"/>
        <w:rPr>
          <w:b/>
          <w:bCs/>
          <w:sz w:val="28"/>
          <w:szCs w:val="28"/>
        </w:rPr>
      </w:pPr>
    </w:p>
    <w:p w14:paraId="5ADAF5EF" w14:textId="7FA296B3" w:rsidR="007E6ECD" w:rsidRDefault="007E6ECD" w:rsidP="007E6ECD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B7C4B8A" wp14:editId="69F9CE96">
            <wp:extent cx="5799600" cy="3808800"/>
            <wp:effectExtent l="0" t="0" r="10795" b="1270"/>
            <wp:docPr id="11370189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B58BF2C" w14:textId="77777777" w:rsidR="007E6ECD" w:rsidRDefault="007E6ECD" w:rsidP="007E6ECD">
      <w:pPr>
        <w:rPr>
          <w:b/>
          <w:bCs/>
          <w:sz w:val="28"/>
          <w:szCs w:val="28"/>
        </w:rPr>
      </w:pPr>
    </w:p>
    <w:p w14:paraId="22D86EC4" w14:textId="09CC0564" w:rsidR="00AE40BA" w:rsidRDefault="00AE40BA" w:rsidP="009B0A12">
      <w:pPr>
        <w:ind w:left="360" w:firstLine="491"/>
        <w:jc w:val="both"/>
        <w:rPr>
          <w:sz w:val="28"/>
          <w:szCs w:val="28"/>
        </w:rPr>
      </w:pPr>
      <w:bookmarkStart w:id="0" w:name="_Hlk192240905"/>
      <w:r w:rsidRPr="00AE40BA">
        <w:rPr>
          <w:sz w:val="28"/>
          <w:szCs w:val="28"/>
        </w:rPr>
        <w:t>A melhoria na remuneração e nas condições de trabalho dos professores tem sido uma prioridade.</w:t>
      </w:r>
      <w:r w:rsidR="008A44F6">
        <w:rPr>
          <w:sz w:val="28"/>
          <w:szCs w:val="28"/>
        </w:rPr>
        <w:t xml:space="preserve"> Estando no mesmo patamar dos demais profissionais com mesma formação.</w:t>
      </w:r>
      <w:r w:rsidRPr="00AE40BA">
        <w:rPr>
          <w:sz w:val="28"/>
          <w:szCs w:val="28"/>
        </w:rPr>
        <w:t xml:space="preserve"> </w:t>
      </w:r>
      <w:r w:rsidR="008A44F6">
        <w:rPr>
          <w:sz w:val="28"/>
          <w:szCs w:val="28"/>
        </w:rPr>
        <w:t xml:space="preserve">Além disso, </w:t>
      </w:r>
      <w:bookmarkEnd w:id="0"/>
      <w:r w:rsidR="008A44F6">
        <w:rPr>
          <w:sz w:val="28"/>
          <w:szCs w:val="28"/>
        </w:rPr>
        <w:t xml:space="preserve">novos concursos públicos têm elevado o quadro dos docentes efetivos e melhorado </w:t>
      </w:r>
      <w:r w:rsidR="00216978">
        <w:rPr>
          <w:sz w:val="28"/>
          <w:szCs w:val="28"/>
        </w:rPr>
        <w:t>relação da formação e a disciplina lecionada. Nota-se também a consistente elevação do percentual de professores da educação básica com pós-graduação.</w:t>
      </w:r>
    </w:p>
    <w:p w14:paraId="6602EA05" w14:textId="4338FD72" w:rsidR="00E92F42" w:rsidRPr="00AE40BA" w:rsidRDefault="00E92F42" w:rsidP="009B0A12">
      <w:pPr>
        <w:ind w:left="360" w:firstLine="491"/>
        <w:jc w:val="both"/>
        <w:rPr>
          <w:sz w:val="28"/>
          <w:szCs w:val="28"/>
        </w:rPr>
      </w:pPr>
    </w:p>
    <w:p w14:paraId="3028A897" w14:textId="5A3F7CDD" w:rsidR="00AE40BA" w:rsidRDefault="008A44F6" w:rsidP="00AE40BA">
      <w:pPr>
        <w:pStyle w:val="PargrafodaLista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A617D4" wp14:editId="708BB9BD">
            <wp:extent cx="5799600" cy="3808800"/>
            <wp:effectExtent l="0" t="0" r="10795" b="1270"/>
            <wp:docPr id="32573009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68585C21" w14:textId="77777777" w:rsidR="008A44F6" w:rsidRDefault="008A44F6" w:rsidP="00AE40BA">
      <w:pPr>
        <w:pStyle w:val="PargrafodaLista"/>
        <w:rPr>
          <w:b/>
          <w:bCs/>
          <w:sz w:val="28"/>
          <w:szCs w:val="28"/>
        </w:rPr>
      </w:pPr>
    </w:p>
    <w:p w14:paraId="0084F53A" w14:textId="00FB88D9" w:rsidR="008A44F6" w:rsidRPr="007E6ECD" w:rsidRDefault="008A44F6" w:rsidP="00AE40BA">
      <w:pPr>
        <w:pStyle w:val="PargrafodaLista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CBD9C1D" wp14:editId="257705DA">
            <wp:extent cx="5799600" cy="3808800"/>
            <wp:effectExtent l="0" t="0" r="10795" b="1270"/>
            <wp:docPr id="204361270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58D2C3A-785F-4BEC-4129-EC110105F6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0F28CE7" w14:textId="6C7A7E4A" w:rsidR="001522A8" w:rsidRDefault="00DA0EDB" w:rsidP="00014C94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4BE062" wp14:editId="6AF1CA29">
            <wp:extent cx="5799600" cy="3808800"/>
            <wp:effectExtent l="0" t="0" r="10795" b="1270"/>
            <wp:docPr id="83282152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404E258-D99A-9F1C-A90D-2D13543936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3480550" w14:textId="46231E0D" w:rsidR="001522A8" w:rsidRDefault="001522A8" w:rsidP="00014C94">
      <w:pPr>
        <w:jc w:val="center"/>
        <w:rPr>
          <w:b/>
          <w:bCs/>
          <w:sz w:val="28"/>
          <w:szCs w:val="28"/>
        </w:rPr>
      </w:pPr>
    </w:p>
    <w:p w14:paraId="6B386D76" w14:textId="4E40FBD7" w:rsidR="00014C94" w:rsidRDefault="00216978" w:rsidP="00014C94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91E8D1D" wp14:editId="5F43B253">
            <wp:extent cx="5799600" cy="3808800"/>
            <wp:effectExtent l="0" t="0" r="10795" b="1270"/>
            <wp:docPr id="85619515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6E9A50F" w14:textId="77777777" w:rsidR="00014C94" w:rsidRPr="000E7BA6" w:rsidRDefault="00014C94" w:rsidP="00CA75A8">
      <w:pPr>
        <w:jc w:val="center"/>
        <w:rPr>
          <w:b/>
          <w:bCs/>
          <w:sz w:val="28"/>
          <w:szCs w:val="28"/>
        </w:rPr>
      </w:pPr>
    </w:p>
    <w:sectPr w:rsidR="00014C94" w:rsidRPr="000E7BA6" w:rsidSect="000E7BA6">
      <w:headerReference w:type="default" r:id="rId35"/>
      <w:pgSz w:w="11906" w:h="16838"/>
      <w:pgMar w:top="1417" w:right="849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0FD96" w14:textId="77777777" w:rsidR="007A7CA3" w:rsidRDefault="007A7CA3" w:rsidP="007A7CA3">
      <w:pPr>
        <w:spacing w:after="0" w:line="240" w:lineRule="auto"/>
      </w:pPr>
      <w:r>
        <w:separator/>
      </w:r>
    </w:p>
  </w:endnote>
  <w:endnote w:type="continuationSeparator" w:id="0">
    <w:p w14:paraId="52989A6D" w14:textId="77777777" w:rsidR="007A7CA3" w:rsidRDefault="007A7CA3" w:rsidP="007A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C45A9" w14:textId="77777777" w:rsidR="007A7CA3" w:rsidRDefault="007A7CA3" w:rsidP="007A7CA3">
      <w:pPr>
        <w:spacing w:after="0" w:line="240" w:lineRule="auto"/>
      </w:pPr>
      <w:r>
        <w:separator/>
      </w:r>
    </w:p>
  </w:footnote>
  <w:footnote w:type="continuationSeparator" w:id="0">
    <w:p w14:paraId="3C00990D" w14:textId="77777777" w:rsidR="007A7CA3" w:rsidRDefault="007A7CA3" w:rsidP="007A7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FBE7" w14:textId="08088061" w:rsidR="007A7CA3" w:rsidRDefault="007A7CA3">
    <w:pPr>
      <w:pStyle w:val="Cabealho"/>
    </w:pPr>
    <w:r w:rsidRPr="00637C94">
      <w:rPr>
        <w:noProof/>
      </w:rPr>
      <w:drawing>
        <wp:anchor distT="0" distB="0" distL="114300" distR="114300" simplePos="0" relativeHeight="251659264" behindDoc="0" locked="0" layoutInCell="1" allowOverlap="1" wp14:anchorId="5A1B53AF" wp14:editId="65B2C7F9">
          <wp:simplePos x="0" y="0"/>
          <wp:positionH relativeFrom="margin">
            <wp:posOffset>2424430</wp:posOffset>
          </wp:positionH>
          <wp:positionV relativeFrom="paragraph">
            <wp:posOffset>-315595</wp:posOffset>
          </wp:positionV>
          <wp:extent cx="1741170" cy="509905"/>
          <wp:effectExtent l="0" t="0" r="0" b="0"/>
          <wp:wrapThrough wrapText="bothSides">
            <wp:wrapPolygon edited="0">
              <wp:start x="6617" y="2421"/>
              <wp:lineTo x="945" y="10491"/>
              <wp:lineTo x="945" y="12912"/>
              <wp:lineTo x="6617" y="16946"/>
              <wp:lineTo x="6617" y="18560"/>
              <wp:lineTo x="19615" y="18560"/>
              <wp:lineTo x="20324" y="16139"/>
              <wp:lineTo x="20324" y="8877"/>
              <wp:lineTo x="19851" y="2421"/>
              <wp:lineTo x="6617" y="2421"/>
            </wp:wrapPolygon>
          </wp:wrapThrough>
          <wp:docPr id="488942923" name="Imagem 3" descr="Uma imagem contendo placar, relógio, desenh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159D5C09-6A76-494F-A922-7CDBA67CBD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Uma imagem contendo placar, relógio, desenho&#10;&#10;Descrição gerada automaticamente">
                    <a:extLst>
                      <a:ext uri="{FF2B5EF4-FFF2-40B4-BE49-F238E27FC236}">
                        <a16:creationId xmlns:a16="http://schemas.microsoft.com/office/drawing/2014/main" id="{159D5C09-6A76-494F-A922-7CDBA67CBD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170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8041D" w14:textId="49DE0763" w:rsidR="007A7CA3" w:rsidRPr="007A7CA3" w:rsidRDefault="007A7CA3" w:rsidP="007A7CA3">
    <w:pPr>
      <w:pStyle w:val="Cabealho"/>
      <w:jc w:val="center"/>
      <w:rPr>
        <w:b/>
        <w:bCs/>
      </w:rPr>
    </w:pPr>
    <w:r w:rsidRPr="007A7CA3">
      <w:rPr>
        <w:b/>
        <w:bCs/>
      </w:rPr>
      <w:t>Superintendência de Gestão Estratégica e Avaliação de Resultados</w:t>
    </w:r>
  </w:p>
  <w:p w14:paraId="31BE9903" w14:textId="19429306" w:rsidR="007A7CA3" w:rsidRDefault="007A7CA3" w:rsidP="007A7CA3">
    <w:pPr>
      <w:pStyle w:val="Cabealho"/>
      <w:jc w:val="center"/>
      <w:rPr>
        <w:b/>
        <w:bCs/>
      </w:rPr>
    </w:pPr>
    <w:r w:rsidRPr="007A7CA3">
      <w:rPr>
        <w:b/>
        <w:bCs/>
      </w:rPr>
      <w:t>Gerência de Informação e Indicadores Educacionais</w:t>
    </w:r>
  </w:p>
  <w:p w14:paraId="411E1085" w14:textId="77777777" w:rsidR="007A7CA3" w:rsidRPr="007A7CA3" w:rsidRDefault="007A7CA3" w:rsidP="007A7CA3">
    <w:pPr>
      <w:pStyle w:val="Cabealho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12F9B"/>
    <w:multiLevelType w:val="hybridMultilevel"/>
    <w:tmpl w:val="078002EC"/>
    <w:lvl w:ilvl="0" w:tplc="0416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A4179"/>
    <w:multiLevelType w:val="hybridMultilevel"/>
    <w:tmpl w:val="B8F2C092"/>
    <w:lvl w:ilvl="0" w:tplc="53AA30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693919">
    <w:abstractNumId w:val="1"/>
  </w:num>
  <w:num w:numId="2" w16cid:durableId="213733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A3"/>
    <w:rsid w:val="00002935"/>
    <w:rsid w:val="00003A75"/>
    <w:rsid w:val="00014C94"/>
    <w:rsid w:val="000466C3"/>
    <w:rsid w:val="00093F14"/>
    <w:rsid w:val="000E76BB"/>
    <w:rsid w:val="000E7BA6"/>
    <w:rsid w:val="0012118D"/>
    <w:rsid w:val="001522A8"/>
    <w:rsid w:val="001765E8"/>
    <w:rsid w:val="0020671A"/>
    <w:rsid w:val="002157BB"/>
    <w:rsid w:val="00216978"/>
    <w:rsid w:val="00247EDA"/>
    <w:rsid w:val="00275C5A"/>
    <w:rsid w:val="0027635C"/>
    <w:rsid w:val="002E517B"/>
    <w:rsid w:val="00312543"/>
    <w:rsid w:val="003255D1"/>
    <w:rsid w:val="00374BD8"/>
    <w:rsid w:val="00393D78"/>
    <w:rsid w:val="003F44B6"/>
    <w:rsid w:val="004042E2"/>
    <w:rsid w:val="00412059"/>
    <w:rsid w:val="00497780"/>
    <w:rsid w:val="004B7E04"/>
    <w:rsid w:val="00503848"/>
    <w:rsid w:val="0051334C"/>
    <w:rsid w:val="00520A91"/>
    <w:rsid w:val="0054336C"/>
    <w:rsid w:val="005613F3"/>
    <w:rsid w:val="00594413"/>
    <w:rsid w:val="005F511C"/>
    <w:rsid w:val="00604C09"/>
    <w:rsid w:val="00623047"/>
    <w:rsid w:val="00646C04"/>
    <w:rsid w:val="00665FB2"/>
    <w:rsid w:val="006A381F"/>
    <w:rsid w:val="00715659"/>
    <w:rsid w:val="00743E4E"/>
    <w:rsid w:val="00765C4F"/>
    <w:rsid w:val="007A7B11"/>
    <w:rsid w:val="007A7CA3"/>
    <w:rsid w:val="007E6ECD"/>
    <w:rsid w:val="007F002A"/>
    <w:rsid w:val="00803692"/>
    <w:rsid w:val="0084798B"/>
    <w:rsid w:val="00862440"/>
    <w:rsid w:val="00865606"/>
    <w:rsid w:val="0087031E"/>
    <w:rsid w:val="008A44F6"/>
    <w:rsid w:val="008D6DDC"/>
    <w:rsid w:val="00927F41"/>
    <w:rsid w:val="00954020"/>
    <w:rsid w:val="00963F53"/>
    <w:rsid w:val="009B0A12"/>
    <w:rsid w:val="009C49AB"/>
    <w:rsid w:val="009D171E"/>
    <w:rsid w:val="009F1A82"/>
    <w:rsid w:val="00A0118C"/>
    <w:rsid w:val="00A70B31"/>
    <w:rsid w:val="00A9190A"/>
    <w:rsid w:val="00AA7038"/>
    <w:rsid w:val="00AC6CEF"/>
    <w:rsid w:val="00AD2C3B"/>
    <w:rsid w:val="00AD48DD"/>
    <w:rsid w:val="00AE40BA"/>
    <w:rsid w:val="00AF2398"/>
    <w:rsid w:val="00B00798"/>
    <w:rsid w:val="00B01C66"/>
    <w:rsid w:val="00B25594"/>
    <w:rsid w:val="00B42466"/>
    <w:rsid w:val="00BC5889"/>
    <w:rsid w:val="00BD4CB0"/>
    <w:rsid w:val="00C31C67"/>
    <w:rsid w:val="00C416AC"/>
    <w:rsid w:val="00C52293"/>
    <w:rsid w:val="00C55E97"/>
    <w:rsid w:val="00C57060"/>
    <w:rsid w:val="00C5747F"/>
    <w:rsid w:val="00CA75A8"/>
    <w:rsid w:val="00D45A41"/>
    <w:rsid w:val="00D55CD3"/>
    <w:rsid w:val="00DA0EDB"/>
    <w:rsid w:val="00DD10BB"/>
    <w:rsid w:val="00DF0CD3"/>
    <w:rsid w:val="00E00D99"/>
    <w:rsid w:val="00E31AD9"/>
    <w:rsid w:val="00E85355"/>
    <w:rsid w:val="00E92F42"/>
    <w:rsid w:val="00EB0379"/>
    <w:rsid w:val="00EC6AC6"/>
    <w:rsid w:val="00EE0F3C"/>
    <w:rsid w:val="00F05C6D"/>
    <w:rsid w:val="00F3685E"/>
    <w:rsid w:val="00F700D2"/>
    <w:rsid w:val="00F7334D"/>
    <w:rsid w:val="00F80EC4"/>
    <w:rsid w:val="00F82645"/>
    <w:rsid w:val="00FA4082"/>
    <w:rsid w:val="00FC133D"/>
    <w:rsid w:val="00FC4605"/>
    <w:rsid w:val="00FD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6E56"/>
  <w15:chartTrackingRefBased/>
  <w15:docId w15:val="{C8F3FD15-E796-48DC-8DF3-D1AC6F47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A7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7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A7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7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7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7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7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7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7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7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7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7A7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7C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7CA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7C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7C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7C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7C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7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7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7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7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7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7C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7C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7CA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7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7CA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7CA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7C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7CA3"/>
  </w:style>
  <w:style w:type="paragraph" w:styleId="Rodap">
    <w:name w:val="footer"/>
    <w:basedOn w:val="Normal"/>
    <w:link w:val="RodapChar"/>
    <w:uiPriority w:val="99"/>
    <w:unhideWhenUsed/>
    <w:rsid w:val="007A7C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7CA3"/>
  </w:style>
  <w:style w:type="paragraph" w:styleId="NormalWeb">
    <w:name w:val="Normal (Web)"/>
    <w:basedOn w:val="Normal"/>
    <w:uiPriority w:val="99"/>
    <w:semiHidden/>
    <w:unhideWhenUsed/>
    <w:rsid w:val="00665FB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21" Type="http://schemas.openxmlformats.org/officeDocument/2006/relationships/chart" Target="charts/chart15.xml"/><Relationship Id="rId34" Type="http://schemas.openxmlformats.org/officeDocument/2006/relationships/chart" Target="charts/chart28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chart" Target="charts/chart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chart" Target="charts/chart26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31" Type="http://schemas.openxmlformats.org/officeDocument/2006/relationships/chart" Target="charts/chart25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header" Target="header1.xml"/><Relationship Id="rId8" Type="http://schemas.openxmlformats.org/officeDocument/2006/relationships/chart" Target="charts/chart2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ui.rgomes\Downloads\Censo%202022%20-%20Pir&#226;mide%20et&#225;ria%20-%20Goi&#225;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chartUserShapes" Target="../drawings/drawing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chartUserShapes" Target="../drawings/drawing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BASES%20DE%20DADOS\Alunos%20alfabetizados%20Rede%20Municipal\trabalho.resultados_e_metas_municipios.xlsx" TargetMode="Externa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chartUserShapes" Target="../drawings/drawing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chartUserShapes" Target="../drawings/drawing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chartUserShapes" Target="../drawings/drawing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chartUserShapes" Target="../drawings/drawing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chartUserShapes" Target="../drawings/drawing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chartUserShapes" Target="../drawings/drawing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chartUserShapes" Target="../drawings/drawing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chartUserShapes" Target="../drawings/drawing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chartUserShapes" Target="../drawings/drawing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chartUserShapes" Target="../drawings/drawing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chartUserShapes" Target="../drawings/drawing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chartUserShapes" Target="../drawings/drawing28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oleObject" Target="file:///\\see.go.gov.br\arquivos\SUPGEAR\GEAPPE\PEE\Diagn&#243;stico%20para%20PEE%202026-2036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ui.rgomes\Downloads\Tabela%207141%20(13)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ee.go.gov.br\arquivos\SUPGEAR\GEAPPE\PEE\Diagn&#243;stico%20para%20PEE%202026-2036.xlsx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24435273731024"/>
          <c:y val="0.1619718309859155"/>
          <c:w val="0.87484767243480377"/>
          <c:h val="0.7528270673912240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Sheet1!$H$1</c:f>
              <c:strCache>
                <c:ptCount val="1"/>
                <c:pt idx="0">
                  <c:v>Feminino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1E83BC1C-E99D-4F8B-9152-F35B8F72C8EC}" type="CELLRANGE">
                      <a:rPr lang="en-US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3084-48E2-851D-5B53F233F8D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9D75586-4B32-4405-9886-B4559E4A2FA4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3084-48E2-851D-5B53F233F8D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A1A04A8-2560-4DB7-A19C-32BAF41E8EE0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3084-48E2-851D-5B53F233F8D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5DEEDFA-5980-4983-97EA-1A82989C77A8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3084-48E2-851D-5B53F233F8D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C7D03386-D69C-41E4-B5AA-D586C7BEF095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3084-48E2-851D-5B53F233F8D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2B7F9431-6268-41D0-9B9F-AF1330A1C319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3084-48E2-851D-5B53F233F8D9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BBDD3F56-A5EA-4122-8602-0BA9D45A30A2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3084-48E2-851D-5B53F233F8D9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8FA29B7E-0C25-42CA-942E-555C2000BE0C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3084-48E2-851D-5B53F233F8D9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4E26787F-B7E0-4878-B176-822E648A958D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3084-48E2-851D-5B53F233F8D9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4FE39FCE-0EAC-4505-87E4-FB84C11FC2E3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3084-48E2-851D-5B53F233F8D9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B66DA8C5-E442-42EF-956E-E7FA01EF0F10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3084-48E2-851D-5B53F233F8D9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D8EBBC74-ADDB-4B69-93CB-30EBA96A2392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B-3084-48E2-851D-5B53F233F8D9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FDF3069E-6FF4-4DFE-B039-D9B1D75A2EDB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C-3084-48E2-851D-5B53F233F8D9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EC3C8908-00D8-481B-8D6B-D8F03AD232B4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D-3084-48E2-851D-5B53F233F8D9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146CE591-4330-4DC6-84B3-376C5200B910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E-3084-48E2-851D-5B53F233F8D9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8FAE0D79-4BD5-4D38-91EE-F6D6F114B7BA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F-3084-48E2-851D-5B53F233F8D9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53CD6928-3E4B-430E-AF6E-FB6C7436EA15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0-3084-48E2-851D-5B53F233F8D9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3AEB6BB4-2C70-468D-96ED-76145FF504D9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1-3084-48E2-851D-5B53F233F8D9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345521E4-2A92-4103-ABBB-D5950FC2E35A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2-3084-48E2-851D-5B53F233F8D9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A838F0AB-87BD-48BC-9CC4-4CC69DFC8BC4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3-3084-48E2-851D-5B53F233F8D9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1F4E7536-23C9-4971-9696-E3DC74631DB2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4-3084-48E2-851D-5B53F233F8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strRef>
              <c:f>Sheet1!$G$2:$G$22</c:f>
              <c:strCache>
                <c:ptCount val="21"/>
                <c:pt idx="0">
                  <c:v>0 a 4 anos</c:v>
                </c:pt>
                <c:pt idx="1">
                  <c:v>5 a 9 anos</c:v>
                </c:pt>
                <c:pt idx="2">
                  <c:v>10 a 14 anos</c:v>
                </c:pt>
                <c:pt idx="3">
                  <c:v>15 a 19 anos</c:v>
                </c:pt>
                <c:pt idx="4">
                  <c:v>20 a 24 anos</c:v>
                </c:pt>
                <c:pt idx="5">
                  <c:v>25 a 29 anos</c:v>
                </c:pt>
                <c:pt idx="6">
                  <c:v>30 a 34 anos</c:v>
                </c:pt>
                <c:pt idx="7">
                  <c:v>35 a 39 anos</c:v>
                </c:pt>
                <c:pt idx="8">
                  <c:v>40 a 44 anos</c:v>
                </c:pt>
                <c:pt idx="9">
                  <c:v>45 a 49 anos</c:v>
                </c:pt>
                <c:pt idx="10">
                  <c:v>50 a 54 anos</c:v>
                </c:pt>
                <c:pt idx="11">
                  <c:v>55 a 59 anos</c:v>
                </c:pt>
                <c:pt idx="12">
                  <c:v>60 a 64 anos</c:v>
                </c:pt>
                <c:pt idx="13">
                  <c:v>65 a 69 anos</c:v>
                </c:pt>
                <c:pt idx="14">
                  <c:v>70 a 74 anos</c:v>
                </c:pt>
                <c:pt idx="15">
                  <c:v>75 a 79 anos</c:v>
                </c:pt>
                <c:pt idx="16">
                  <c:v>80 a 84 anos</c:v>
                </c:pt>
                <c:pt idx="17">
                  <c:v>85 a 89 anos</c:v>
                </c:pt>
                <c:pt idx="18">
                  <c:v>90 a 94 anos</c:v>
                </c:pt>
                <c:pt idx="19">
                  <c:v>95 a 99 anos</c:v>
                </c:pt>
                <c:pt idx="20">
                  <c:v>100 anos ou mais</c:v>
                </c:pt>
              </c:strCache>
            </c:strRef>
          </c:cat>
          <c:val>
            <c:numRef>
              <c:f>Sheet1!$H$2:$H$22</c:f>
              <c:numCache>
                <c:formatCode>General</c:formatCode>
                <c:ptCount val="21"/>
                <c:pt idx="0">
                  <c:v>-226922</c:v>
                </c:pt>
                <c:pt idx="1">
                  <c:v>-242471</c:v>
                </c:pt>
                <c:pt idx="2">
                  <c:v>-232415</c:v>
                </c:pt>
                <c:pt idx="3">
                  <c:v>-250341</c:v>
                </c:pt>
                <c:pt idx="4">
                  <c:v>-276001</c:v>
                </c:pt>
                <c:pt idx="5">
                  <c:v>-284305</c:v>
                </c:pt>
                <c:pt idx="6">
                  <c:v>-286189</c:v>
                </c:pt>
                <c:pt idx="7">
                  <c:v>-296459</c:v>
                </c:pt>
                <c:pt idx="8">
                  <c:v>-292908</c:v>
                </c:pt>
                <c:pt idx="9">
                  <c:v>-253523</c:v>
                </c:pt>
                <c:pt idx="10">
                  <c:v>-228298</c:v>
                </c:pt>
                <c:pt idx="11">
                  <c:v>-201032</c:v>
                </c:pt>
                <c:pt idx="12">
                  <c:v>-167181</c:v>
                </c:pt>
                <c:pt idx="13">
                  <c:v>-127997</c:v>
                </c:pt>
                <c:pt idx="14">
                  <c:v>-92873</c:v>
                </c:pt>
                <c:pt idx="15">
                  <c:v>-60189</c:v>
                </c:pt>
                <c:pt idx="16">
                  <c:v>-38947</c:v>
                </c:pt>
                <c:pt idx="17">
                  <c:v>-20119</c:v>
                </c:pt>
                <c:pt idx="18">
                  <c:v>-8524</c:v>
                </c:pt>
                <c:pt idx="19">
                  <c:v>-2279</c:v>
                </c:pt>
                <c:pt idx="20">
                  <c:v>-581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Sheet1!$B$2:$B$22</c15:f>
                <c15:dlblRangeCache>
                  <c:ptCount val="21"/>
                  <c:pt idx="0">
                    <c:v> 226.922 </c:v>
                  </c:pt>
                  <c:pt idx="1">
                    <c:v> 242.471 </c:v>
                  </c:pt>
                  <c:pt idx="2">
                    <c:v> 232.415 </c:v>
                  </c:pt>
                  <c:pt idx="3">
                    <c:v> 250.341 </c:v>
                  </c:pt>
                  <c:pt idx="4">
                    <c:v> 276.001 </c:v>
                  </c:pt>
                  <c:pt idx="5">
                    <c:v> 284.305 </c:v>
                  </c:pt>
                  <c:pt idx="6">
                    <c:v> 286.189 </c:v>
                  </c:pt>
                  <c:pt idx="7">
                    <c:v> 296.459 </c:v>
                  </c:pt>
                  <c:pt idx="8">
                    <c:v> 292.908 </c:v>
                  </c:pt>
                  <c:pt idx="9">
                    <c:v> 253.523 </c:v>
                  </c:pt>
                  <c:pt idx="10">
                    <c:v> 228.298 </c:v>
                  </c:pt>
                  <c:pt idx="11">
                    <c:v> 201.032 </c:v>
                  </c:pt>
                  <c:pt idx="12">
                    <c:v> 167.181 </c:v>
                  </c:pt>
                  <c:pt idx="13">
                    <c:v> 127.997 </c:v>
                  </c:pt>
                  <c:pt idx="14">
                    <c:v> 92.873 </c:v>
                  </c:pt>
                  <c:pt idx="15">
                    <c:v> 60.189 </c:v>
                  </c:pt>
                  <c:pt idx="16">
                    <c:v> 38.947 </c:v>
                  </c:pt>
                  <c:pt idx="17">
                    <c:v> 20.119 </c:v>
                  </c:pt>
                  <c:pt idx="18">
                    <c:v> 8.524 </c:v>
                  </c:pt>
                  <c:pt idx="19">
                    <c:v> 2.279 </c:v>
                  </c:pt>
                  <c:pt idx="20">
                    <c:v> 581 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15-3084-48E2-851D-5B53F233F8D9}"/>
            </c:ext>
          </c:extLst>
        </c:ser>
        <c:ser>
          <c:idx val="1"/>
          <c:order val="1"/>
          <c:tx>
            <c:strRef>
              <c:f>Sheet1!$I$1</c:f>
              <c:strCache>
                <c:ptCount val="1"/>
                <c:pt idx="0">
                  <c:v>Masculino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D2FDBFC-728B-4159-A9DB-3B1827538F4B}" type="CELLRANGE">
                      <a:rPr lang="en-US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16-3084-48E2-851D-5B53F233F8D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54D9167-FC41-48F7-968D-10D49E6F0A8F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7-3084-48E2-851D-5B53F233F8D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D2CFB92-3D92-4E56-848D-C516D968EF03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8-3084-48E2-851D-5B53F233F8D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D45E339-D0FD-42ED-84BA-78F0DFA38D2D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9-3084-48E2-851D-5B53F233F8D9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855505D2-CCAB-4CF2-A42F-695580B67D61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A-3084-48E2-851D-5B53F233F8D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27850BD5-450D-42DD-8FCF-AB80C7EAAA03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B-3084-48E2-851D-5B53F233F8D9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138D2211-F9AB-49B9-AE38-45B5006F0E1E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C-3084-48E2-851D-5B53F233F8D9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EF623976-0DF8-4B5E-866F-5081B35514B9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D-3084-48E2-851D-5B53F233F8D9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181B29E8-34BC-42EF-8A50-02EEAFE74E5F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E-3084-48E2-851D-5B53F233F8D9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5FE7B770-29D0-4AFD-9E53-93E1A6A24168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1F-3084-48E2-851D-5B53F233F8D9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CFD06368-75C1-4D4D-A287-731580448869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0-3084-48E2-851D-5B53F233F8D9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01F30A4A-0667-4E80-8869-CB6449455F4E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1-3084-48E2-851D-5B53F233F8D9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2BAD77E8-3105-4491-AC93-6972CCC071DF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2-3084-48E2-851D-5B53F233F8D9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92751D72-9C23-4D32-8A8C-9D5AEC4C2623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3-3084-48E2-851D-5B53F233F8D9}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83BBEDB1-3F98-4BD6-A461-D9ACAB3B3AD7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4-3084-48E2-851D-5B53F233F8D9}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D19CD151-DF70-4886-8A62-C1895EB80760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5-3084-48E2-851D-5B53F233F8D9}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E099C079-6057-4A07-AE4B-C2FFC4745F87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6-3084-48E2-851D-5B53F233F8D9}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F53C91F4-B21B-49D4-829D-E3FF6BCB50AE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7-3084-48E2-851D-5B53F233F8D9}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221D0947-495E-4D6F-A261-02F467B6A914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8-3084-48E2-851D-5B53F233F8D9}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D34FC32E-A136-43E6-AA1E-6201AEE16F9C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9-3084-48E2-851D-5B53F233F8D9}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B1EE31B1-BEDB-4ED9-9C6E-F0091A0EAA6D}" type="CELLRANGE">
                      <a:rPr lang="pt-BR"/>
                      <a:pPr/>
                      <a:t>[INTERVALODACÉLULA]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2A-3084-48E2-851D-5B53F233F8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Sheet1!$G$2:$G$22</c:f>
              <c:strCache>
                <c:ptCount val="21"/>
                <c:pt idx="0">
                  <c:v>0 a 4 anos</c:v>
                </c:pt>
                <c:pt idx="1">
                  <c:v>5 a 9 anos</c:v>
                </c:pt>
                <c:pt idx="2">
                  <c:v>10 a 14 anos</c:v>
                </c:pt>
                <c:pt idx="3">
                  <c:v>15 a 19 anos</c:v>
                </c:pt>
                <c:pt idx="4">
                  <c:v>20 a 24 anos</c:v>
                </c:pt>
                <c:pt idx="5">
                  <c:v>25 a 29 anos</c:v>
                </c:pt>
                <c:pt idx="6">
                  <c:v>30 a 34 anos</c:v>
                </c:pt>
                <c:pt idx="7">
                  <c:v>35 a 39 anos</c:v>
                </c:pt>
                <c:pt idx="8">
                  <c:v>40 a 44 anos</c:v>
                </c:pt>
                <c:pt idx="9">
                  <c:v>45 a 49 anos</c:v>
                </c:pt>
                <c:pt idx="10">
                  <c:v>50 a 54 anos</c:v>
                </c:pt>
                <c:pt idx="11">
                  <c:v>55 a 59 anos</c:v>
                </c:pt>
                <c:pt idx="12">
                  <c:v>60 a 64 anos</c:v>
                </c:pt>
                <c:pt idx="13">
                  <c:v>65 a 69 anos</c:v>
                </c:pt>
                <c:pt idx="14">
                  <c:v>70 a 74 anos</c:v>
                </c:pt>
                <c:pt idx="15">
                  <c:v>75 a 79 anos</c:v>
                </c:pt>
                <c:pt idx="16">
                  <c:v>80 a 84 anos</c:v>
                </c:pt>
                <c:pt idx="17">
                  <c:v>85 a 89 anos</c:v>
                </c:pt>
                <c:pt idx="18">
                  <c:v>90 a 94 anos</c:v>
                </c:pt>
                <c:pt idx="19">
                  <c:v>95 a 99 anos</c:v>
                </c:pt>
                <c:pt idx="20">
                  <c:v>100 anos ou mais</c:v>
                </c:pt>
              </c:strCache>
            </c:strRef>
          </c:cat>
          <c:val>
            <c:numRef>
              <c:f>Sheet1!$I$2:$I$22</c:f>
              <c:numCache>
                <c:formatCode>General</c:formatCode>
                <c:ptCount val="21"/>
                <c:pt idx="0">
                  <c:v>234656</c:v>
                </c:pt>
                <c:pt idx="1">
                  <c:v>251601</c:v>
                </c:pt>
                <c:pt idx="2">
                  <c:v>243224</c:v>
                </c:pt>
                <c:pt idx="3">
                  <c:v>258460</c:v>
                </c:pt>
                <c:pt idx="4">
                  <c:v>278317</c:v>
                </c:pt>
                <c:pt idx="5">
                  <c:v>280165</c:v>
                </c:pt>
                <c:pt idx="6">
                  <c:v>277284</c:v>
                </c:pt>
                <c:pt idx="7">
                  <c:v>283635</c:v>
                </c:pt>
                <c:pt idx="8">
                  <c:v>281193</c:v>
                </c:pt>
                <c:pt idx="9">
                  <c:v>238214</c:v>
                </c:pt>
                <c:pt idx="10">
                  <c:v>213233</c:v>
                </c:pt>
                <c:pt idx="11">
                  <c:v>181232</c:v>
                </c:pt>
                <c:pt idx="12">
                  <c:v>148363</c:v>
                </c:pt>
                <c:pt idx="13">
                  <c:v>112155</c:v>
                </c:pt>
                <c:pt idx="14">
                  <c:v>80586</c:v>
                </c:pt>
                <c:pt idx="15">
                  <c:v>51274</c:v>
                </c:pt>
                <c:pt idx="16">
                  <c:v>31307</c:v>
                </c:pt>
                <c:pt idx="17">
                  <c:v>14745</c:v>
                </c:pt>
                <c:pt idx="18">
                  <c:v>5541</c:v>
                </c:pt>
                <c:pt idx="19">
                  <c:v>1434</c:v>
                </c:pt>
                <c:pt idx="20">
                  <c:v>322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Sheet1!$C$2:$C$22</c15:f>
                <c15:dlblRangeCache>
                  <c:ptCount val="21"/>
                  <c:pt idx="0">
                    <c:v> 234.656 </c:v>
                  </c:pt>
                  <c:pt idx="1">
                    <c:v> 251.601 </c:v>
                  </c:pt>
                  <c:pt idx="2">
                    <c:v> 243.224 </c:v>
                  </c:pt>
                  <c:pt idx="3">
                    <c:v> 258.460 </c:v>
                  </c:pt>
                  <c:pt idx="4">
                    <c:v> 278.317 </c:v>
                  </c:pt>
                  <c:pt idx="5">
                    <c:v> 280.165 </c:v>
                  </c:pt>
                  <c:pt idx="6">
                    <c:v> 277.284 </c:v>
                  </c:pt>
                  <c:pt idx="7">
                    <c:v> 283.635 </c:v>
                  </c:pt>
                  <c:pt idx="8">
                    <c:v> 281.193 </c:v>
                  </c:pt>
                  <c:pt idx="9">
                    <c:v> 238.214 </c:v>
                  </c:pt>
                  <c:pt idx="10">
                    <c:v> 213.233 </c:v>
                  </c:pt>
                  <c:pt idx="11">
                    <c:v> 181.232 </c:v>
                  </c:pt>
                  <c:pt idx="12">
                    <c:v> 148.363 </c:v>
                  </c:pt>
                  <c:pt idx="13">
                    <c:v> 112.155 </c:v>
                  </c:pt>
                  <c:pt idx="14">
                    <c:v> 80.586 </c:v>
                  </c:pt>
                  <c:pt idx="15">
                    <c:v> 51.274 </c:v>
                  </c:pt>
                  <c:pt idx="16">
                    <c:v> 31.307 </c:v>
                  </c:pt>
                  <c:pt idx="17">
                    <c:v> 14.745 </c:v>
                  </c:pt>
                  <c:pt idx="18">
                    <c:v> 5.541 </c:v>
                  </c:pt>
                  <c:pt idx="19">
                    <c:v> 1.434 </c:v>
                  </c:pt>
                  <c:pt idx="20">
                    <c:v> 322 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2B-3084-48E2-851D-5B53F233F8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1560930096"/>
        <c:axId val="1560930576"/>
      </c:barChart>
      <c:catAx>
        <c:axId val="1560930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  <a:alpha val="96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560930576"/>
        <c:crosses val="autoZero"/>
        <c:auto val="1"/>
        <c:lblAlgn val="ctr"/>
        <c:lblOffset val="1000"/>
        <c:noMultiLvlLbl val="0"/>
      </c:catAx>
      <c:valAx>
        <c:axId val="156093057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93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171639542351371"/>
          <c:y val="0.13893598158799203"/>
          <c:w val="0.15645109253109887"/>
          <c:h val="0.124679340207266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286764877044474E-3"/>
          <c:y val="0.16457979431464034"/>
          <c:w val="0.99684022033104835"/>
          <c:h val="0.651764761482173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5 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5 '!$A$13:$A$25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5 '!$B$13:$B$25</c:f>
              <c:numCache>
                <c:formatCode>#,##0.0</c:formatCode>
                <c:ptCount val="13"/>
                <c:pt idx="0">
                  <c:v>85</c:v>
                </c:pt>
                <c:pt idx="1">
                  <c:v>86</c:v>
                </c:pt>
                <c:pt idx="2">
                  <c:v>84</c:v>
                </c:pt>
                <c:pt idx="3">
                  <c:v>82.1</c:v>
                </c:pt>
                <c:pt idx="4">
                  <c:v>86.8</c:v>
                </c:pt>
                <c:pt idx="5">
                  <c:v>92.26</c:v>
                </c:pt>
                <c:pt idx="6">
                  <c:v>88.83</c:v>
                </c:pt>
                <c:pt idx="7">
                  <c:v>90.66</c:v>
                </c:pt>
                <c:pt idx="8">
                  <c:v>93.14</c:v>
                </c:pt>
                <c:pt idx="9" formatCode="0.0">
                  <c:v>95.1</c:v>
                </c:pt>
                <c:pt idx="10" formatCode="0.0">
                  <c:v>94.88</c:v>
                </c:pt>
                <c:pt idx="11" formatCode="0.0">
                  <c:v>94.13</c:v>
                </c:pt>
                <c:pt idx="12" formatCode="0.0">
                  <c:v>92.68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159-4A07-8A6D-B23BF0C404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6999936"/>
        <c:axId val="-1626985248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5 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'Meta 5 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5 '!$C$13:$C$25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92.68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159-4A07-8A6D-B23BF0C40402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'!$D$6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'!$D$13:$D$25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0">
                        <c:v>92.68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B159-4A07-8A6D-B23BF0C40402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'!$E$13:$E$25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100</c:v>
                      </c:pt>
                      <c:pt idx="1">
                        <c:v>100</c:v>
                      </c:pt>
                      <c:pt idx="2">
                        <c:v>100</c:v>
                      </c:pt>
                      <c:pt idx="3">
                        <c:v>100</c:v>
                      </c:pt>
                      <c:pt idx="4">
                        <c:v>100</c:v>
                      </c:pt>
                      <c:pt idx="5">
                        <c:v>100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B159-4A07-8A6D-B23BF0C40402}"/>
                  </c:ext>
                </c:extLst>
              </c15:ser>
            </c15:filteredBarSeries>
          </c:ext>
        </c:extLst>
      </c:barChart>
      <c:catAx>
        <c:axId val="-162699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6985248"/>
        <c:crosses val="autoZero"/>
        <c:auto val="1"/>
        <c:lblAlgn val="ctr"/>
        <c:lblOffset val="100"/>
        <c:noMultiLvlLbl val="0"/>
      </c:catAx>
      <c:valAx>
        <c:axId val="-1626985248"/>
        <c:scaling>
          <c:orientation val="minMax"/>
          <c:max val="100"/>
          <c:min val="0"/>
        </c:scaling>
        <c:delete val="1"/>
        <c:axPos val="l"/>
        <c:numFmt formatCode="_(* #,##0_);_(* \(#,##0\);_(* &quot;-&quot;_);_(@_)" sourceLinked="0"/>
        <c:majorTickMark val="out"/>
        <c:minorTickMark val="none"/>
        <c:tickLblPos val="nextTo"/>
        <c:crossAx val="-162699993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589869281045744E-3"/>
          <c:y val="0.11899452788450343"/>
          <c:w val="0.98876601307189538"/>
          <c:h val="0.718624843451754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5 '!$B$32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5 '!$A$39:$A$51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5 '!$B$39:$B$51</c:f>
              <c:numCache>
                <c:formatCode>#,##0.0</c:formatCode>
                <c:ptCount val="13"/>
                <c:pt idx="0">
                  <c:v>65</c:v>
                </c:pt>
                <c:pt idx="1">
                  <c:v>70</c:v>
                </c:pt>
                <c:pt idx="2">
                  <c:v>66</c:v>
                </c:pt>
                <c:pt idx="3">
                  <c:v>68.400000000000006</c:v>
                </c:pt>
                <c:pt idx="4">
                  <c:v>69.3</c:v>
                </c:pt>
                <c:pt idx="5">
                  <c:v>72.17</c:v>
                </c:pt>
                <c:pt idx="6">
                  <c:v>71.41</c:v>
                </c:pt>
                <c:pt idx="7">
                  <c:v>72.599999999999994</c:v>
                </c:pt>
                <c:pt idx="8">
                  <c:v>76.900000000000006</c:v>
                </c:pt>
                <c:pt idx="9" formatCode="0.0">
                  <c:v>81.8</c:v>
                </c:pt>
                <c:pt idx="10" formatCode="0.0">
                  <c:v>78.42</c:v>
                </c:pt>
                <c:pt idx="11" formatCode="0.0">
                  <c:v>78.92</c:v>
                </c:pt>
                <c:pt idx="12">
                  <c:v>80.12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159-4102-BCD2-F5D4BE8B9B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6997216"/>
        <c:axId val="-1626990688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5 '!$C$32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dLbls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9159-4102-BCD2-F5D4BE8B9BA4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9159-4102-BCD2-F5D4BE8B9BA4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5 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5 '!$C$39:$C$51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#,##0.0">
                        <c:v>80.12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9159-4102-BCD2-F5D4BE8B9BA4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'!$D$32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'!$D$39:$D$51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#,##0.0">
                        <c:v>80.12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9159-4102-BCD2-F5D4BE8B9BA4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'!$E$32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5 '!$E$39:$E$51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85</c:v>
                      </c:pt>
                      <c:pt idx="1">
                        <c:v>85</c:v>
                      </c:pt>
                      <c:pt idx="2">
                        <c:v>85</c:v>
                      </c:pt>
                      <c:pt idx="3">
                        <c:v>85</c:v>
                      </c:pt>
                      <c:pt idx="4">
                        <c:v>85</c:v>
                      </c:pt>
                      <c:pt idx="5">
                        <c:v>85</c:v>
                      </c:pt>
                      <c:pt idx="6">
                        <c:v>85</c:v>
                      </c:pt>
                      <c:pt idx="7">
                        <c:v>85</c:v>
                      </c:pt>
                      <c:pt idx="8">
                        <c:v>85</c:v>
                      </c:pt>
                      <c:pt idx="9">
                        <c:v>85</c:v>
                      </c:pt>
                      <c:pt idx="10">
                        <c:v>85</c:v>
                      </c:pt>
                      <c:pt idx="11">
                        <c:v>85</c:v>
                      </c:pt>
                      <c:pt idx="12">
                        <c:v>85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9159-4102-BCD2-F5D4BE8B9BA4}"/>
                  </c:ext>
                </c:extLst>
              </c15:ser>
            </c15:filteredBarSeries>
          </c:ext>
        </c:extLst>
      </c:barChart>
      <c:catAx>
        <c:axId val="-162699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6990688"/>
        <c:crosses val="autoZero"/>
        <c:auto val="1"/>
        <c:lblAlgn val="ctr"/>
        <c:lblOffset val="100"/>
        <c:noMultiLvlLbl val="0"/>
      </c:catAx>
      <c:valAx>
        <c:axId val="-1626990688"/>
        <c:scaling>
          <c:orientation val="minMax"/>
          <c:max val="85"/>
          <c:min val="0"/>
        </c:scaling>
        <c:delete val="1"/>
        <c:axPos val="l"/>
        <c:numFmt formatCode="_(* #,##0_);_(* \(#,##0\);_(* &quot;-&quot;_);_(@_)" sourceLinked="0"/>
        <c:majorTickMark val="out"/>
        <c:minorTickMark val="none"/>
        <c:tickLblPos val="nextTo"/>
        <c:crossAx val="-1626997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677148746286292E-2"/>
          <c:y val="8.780096750860894E-2"/>
          <c:w val="0.97865447050181087"/>
          <c:h val="0.74103703859291681"/>
        </c:manualLayout>
      </c:layout>
      <c:lineChart>
        <c:grouping val="standard"/>
        <c:varyColors val="0"/>
        <c:ser>
          <c:idx val="0"/>
          <c:order val="0"/>
          <c:tx>
            <c:strRef>
              <c:f>'Meta 6'!$B$115</c:f>
              <c:strCache>
                <c:ptCount val="1"/>
                <c:pt idx="0">
                  <c:v>Geral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6'!$A$122:$A$134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</c:numRef>
          </c:cat>
          <c:val>
            <c:numRef>
              <c:f>'Meta 6'!$B$122:$B$134</c:f>
              <c:numCache>
                <c:formatCode>0.0</c:formatCode>
                <c:ptCount val="13"/>
                <c:pt idx="0">
                  <c:v>7.73</c:v>
                </c:pt>
                <c:pt idx="1">
                  <c:v>7.99</c:v>
                </c:pt>
                <c:pt idx="2">
                  <c:v>8.08</c:v>
                </c:pt>
                <c:pt idx="3">
                  <c:v>7.99</c:v>
                </c:pt>
                <c:pt idx="4">
                  <c:v>8.44</c:v>
                </c:pt>
                <c:pt idx="5">
                  <c:v>8.3000000000000007</c:v>
                </c:pt>
                <c:pt idx="6">
                  <c:v>8.48</c:v>
                </c:pt>
                <c:pt idx="7">
                  <c:v>8.61</c:v>
                </c:pt>
                <c:pt idx="8">
                  <c:v>8.76</c:v>
                </c:pt>
                <c:pt idx="9">
                  <c:v>10.06</c:v>
                </c:pt>
                <c:pt idx="10">
                  <c:v>10.01</c:v>
                </c:pt>
                <c:pt idx="11">
                  <c:v>10.02</c:v>
                </c:pt>
                <c:pt idx="12">
                  <c:v>10.4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448-4770-ADC8-68BA38BD954F}"/>
            </c:ext>
          </c:extLst>
        </c:ser>
        <c:ser>
          <c:idx val="1"/>
          <c:order val="1"/>
          <c:tx>
            <c:strRef>
              <c:f>'Meta 6'!$C$115</c:f>
              <c:strCache>
                <c:ptCount val="1"/>
                <c:pt idx="0">
                  <c:v>Residentes do Campo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6'!$A$122:$A$134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</c:numRef>
          </c:cat>
          <c:val>
            <c:numRef>
              <c:f>'Meta 6'!$C$122:$C$134</c:f>
              <c:numCache>
                <c:formatCode>0.0</c:formatCode>
                <c:ptCount val="13"/>
                <c:pt idx="0">
                  <c:v>5.45</c:v>
                </c:pt>
                <c:pt idx="1">
                  <c:v>5.63</c:v>
                </c:pt>
                <c:pt idx="2">
                  <c:v>5.92</c:v>
                </c:pt>
                <c:pt idx="3">
                  <c:v>5.59</c:v>
                </c:pt>
                <c:pt idx="4">
                  <c:v>6.32</c:v>
                </c:pt>
                <c:pt idx="5">
                  <c:v>5.85</c:v>
                </c:pt>
                <c:pt idx="6">
                  <c:v>5.78</c:v>
                </c:pt>
                <c:pt idx="7">
                  <c:v>5.98</c:v>
                </c:pt>
                <c:pt idx="8">
                  <c:v>6.28</c:v>
                </c:pt>
                <c:pt idx="9">
                  <c:v>7.58</c:v>
                </c:pt>
                <c:pt idx="10">
                  <c:v>7.62</c:v>
                </c:pt>
                <c:pt idx="11">
                  <c:v>7.26</c:v>
                </c:pt>
                <c:pt idx="12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448-4770-ADC8-68BA38BD954F}"/>
            </c:ext>
          </c:extLst>
        </c:ser>
        <c:ser>
          <c:idx val="2"/>
          <c:order val="2"/>
          <c:tx>
            <c:strRef>
              <c:f>'Meta 6'!$D$115</c:f>
              <c:strCache>
                <c:ptCount val="1"/>
                <c:pt idx="0">
                  <c:v>25% mais pobres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96110669019761E-2"/>
                  <c:y val="-2.16489485996645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48-4770-ADC8-68BA38BD954F}"/>
                </c:ext>
              </c:extLst>
            </c:dLbl>
            <c:dLbl>
              <c:idx val="1"/>
              <c:layout>
                <c:manualLayout>
                  <c:x val="-3.196110669019761E-2"/>
                  <c:y val="-3.1652283044479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48-4770-ADC8-68BA38BD954F}"/>
                </c:ext>
              </c:extLst>
            </c:dLbl>
            <c:dLbl>
              <c:idx val="2"/>
              <c:layout>
                <c:manualLayout>
                  <c:x val="-3.1961106690197652E-2"/>
                  <c:y val="-2.4983393414602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448-4770-ADC8-68BA38BD954F}"/>
                </c:ext>
              </c:extLst>
            </c:dLbl>
            <c:dLbl>
              <c:idx val="3"/>
              <c:layout>
                <c:manualLayout>
                  <c:x val="-2.9771245746367546E-2"/>
                  <c:y val="-2.4983393414602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448-4770-ADC8-68BA38BD954F}"/>
                </c:ext>
              </c:extLst>
            </c:dLbl>
            <c:dLbl>
              <c:idx val="4"/>
              <c:layout>
                <c:manualLayout>
                  <c:x val="-2.9771245746367588E-2"/>
                  <c:y val="-3.1652283044479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448-4770-ADC8-68BA38BD954F}"/>
                </c:ext>
              </c:extLst>
            </c:dLbl>
            <c:dLbl>
              <c:idx val="6"/>
              <c:layout>
                <c:manualLayout>
                  <c:x val="-2.5391523858707413E-2"/>
                  <c:y val="2.8367723624410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448-4770-ADC8-68BA38BD954F}"/>
                </c:ext>
              </c:extLst>
            </c:dLbl>
            <c:dLbl>
              <c:idx val="7"/>
              <c:layout>
                <c:manualLayout>
                  <c:x val="-3.6340828577857746E-2"/>
                  <c:y val="3.1702168439348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448-4770-ADC8-68BA38BD954F}"/>
                </c:ext>
              </c:extLst>
            </c:dLbl>
            <c:dLbl>
              <c:idx val="9"/>
              <c:layout>
                <c:manualLayout>
                  <c:x val="-1.6632080083387145E-2"/>
                  <c:y val="3.1702168439348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448-4770-ADC8-68BA38BD954F}"/>
                </c:ext>
              </c:extLst>
            </c:dLbl>
            <c:dLbl>
              <c:idx val="10"/>
              <c:layout>
                <c:manualLayout>
                  <c:x val="-3.196110669019761E-2"/>
                  <c:y val="2.83677236244102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448-4770-ADC8-68BA38BD954F}"/>
                </c:ext>
              </c:extLst>
            </c:dLbl>
            <c:dLbl>
              <c:idx val="11"/>
              <c:layout>
                <c:manualLayout>
                  <c:x val="-3.196110669019761E-2"/>
                  <c:y val="3.5036613254286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448-4770-ADC8-68BA38BD954F}"/>
                </c:ext>
              </c:extLst>
            </c:dLbl>
            <c:dLbl>
              <c:idx val="12"/>
              <c:layout>
                <c:manualLayout>
                  <c:x val="-2.2297957308057396E-2"/>
                  <c:y val="2.83677236244102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448-4770-ADC8-68BA38BD95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6'!$A$122:$A$134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</c:numRef>
          </c:cat>
          <c:val>
            <c:numRef>
              <c:f>'Meta 6'!$D$122:$D$134</c:f>
              <c:numCache>
                <c:formatCode>0.0</c:formatCode>
                <c:ptCount val="13"/>
                <c:pt idx="0">
                  <c:v>6.22</c:v>
                </c:pt>
                <c:pt idx="1">
                  <c:v>6.64</c:v>
                </c:pt>
                <c:pt idx="2">
                  <c:v>6.6</c:v>
                </c:pt>
                <c:pt idx="3">
                  <c:v>6.9</c:v>
                </c:pt>
                <c:pt idx="4">
                  <c:v>7.14</c:v>
                </c:pt>
                <c:pt idx="5">
                  <c:v>6.67</c:v>
                </c:pt>
                <c:pt idx="6">
                  <c:v>7.92</c:v>
                </c:pt>
                <c:pt idx="7">
                  <c:v>8.1300000000000008</c:v>
                </c:pt>
                <c:pt idx="8">
                  <c:v>7.3</c:v>
                </c:pt>
                <c:pt idx="9">
                  <c:v>9.5299999999999994</c:v>
                </c:pt>
                <c:pt idx="10">
                  <c:v>9.77</c:v>
                </c:pt>
                <c:pt idx="11">
                  <c:v>9.74</c:v>
                </c:pt>
                <c:pt idx="12">
                  <c:v>9.2701411955256798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3448-4770-ADC8-68BA38BD95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37191696"/>
        <c:axId val="1237204656"/>
      </c:lineChart>
      <c:catAx>
        <c:axId val="1237191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37204656"/>
        <c:crosses val="autoZero"/>
        <c:auto val="1"/>
        <c:lblAlgn val="ctr"/>
        <c:lblOffset val="100"/>
        <c:noMultiLvlLbl val="0"/>
      </c:catAx>
      <c:valAx>
        <c:axId val="1237204656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23719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597200943881793"/>
          <c:y val="0.70753715805530981"/>
          <c:w val="0.67402799056118201"/>
          <c:h val="5.6269150084148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45392799840675E-3"/>
          <c:y val="0.10533803786086011"/>
          <c:w val="0.99672555438398958"/>
          <c:h val="0.70668484442396007"/>
        </c:manualLayout>
      </c:layout>
      <c:lineChart>
        <c:grouping val="standard"/>
        <c:varyColors val="0"/>
        <c:ser>
          <c:idx val="0"/>
          <c:order val="0"/>
          <c:tx>
            <c:strRef>
              <c:f>'Meta 4'!$X$6</c:f>
              <c:strCache>
                <c:ptCount val="1"/>
                <c:pt idx="0">
                  <c:v>Anos Iniciais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4'!$W$7:$W$16</c:f>
              <c:numCache>
                <c:formatCode>General</c:formatCode>
                <c:ptCount val="10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2011</c:v>
                </c:pt>
                <c:pt idx="4">
                  <c:v>2013</c:v>
                </c:pt>
                <c:pt idx="5">
                  <c:v>2015</c:v>
                </c:pt>
                <c:pt idx="6">
                  <c:v>2017</c:v>
                </c:pt>
                <c:pt idx="7">
                  <c:v>2019</c:v>
                </c:pt>
                <c:pt idx="8">
                  <c:v>2021</c:v>
                </c:pt>
                <c:pt idx="9">
                  <c:v>2023</c:v>
                </c:pt>
              </c:numCache>
            </c:numRef>
          </c:cat>
          <c:val>
            <c:numRef>
              <c:f>'Meta 4'!$X$7:$X$16</c:f>
              <c:numCache>
                <c:formatCode>#,##0.0</c:formatCode>
                <c:ptCount val="10"/>
                <c:pt idx="0">
                  <c:v>4.0999999999999996</c:v>
                </c:pt>
                <c:pt idx="1">
                  <c:v>4.3</c:v>
                </c:pt>
                <c:pt idx="2">
                  <c:v>4.9000000000000004</c:v>
                </c:pt>
                <c:pt idx="3">
                  <c:v>5.3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6.2</c:v>
                </c:pt>
                <c:pt idx="8" formatCode="General">
                  <c:v>5.9</c:v>
                </c:pt>
                <c:pt idx="9" formatCode="General">
                  <c:v>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0C8-433C-BA7F-030BC49D6379}"/>
            </c:ext>
          </c:extLst>
        </c:ser>
        <c:ser>
          <c:idx val="1"/>
          <c:order val="2"/>
          <c:tx>
            <c:strRef>
              <c:f>'Meta 4'!$Y$6</c:f>
              <c:strCache>
                <c:ptCount val="1"/>
                <c:pt idx="0">
                  <c:v>Anos Finais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790104367993815E-2"/>
                  <c:y val="-2.7578291523200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BC-47A1-A3A1-DAE88F72EF69}"/>
                </c:ext>
              </c:extLst>
            </c:dLbl>
            <c:dLbl>
              <c:idx val="1"/>
              <c:layout>
                <c:manualLayout>
                  <c:x val="-3.017008117510632E-2"/>
                  <c:y val="-2.1019839317920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BC-47A1-A3A1-DAE88F72EF69}"/>
                </c:ext>
              </c:extLst>
            </c:dLbl>
            <c:dLbl>
              <c:idx val="2"/>
              <c:layout>
                <c:manualLayout>
                  <c:x val="-3.0170081175106302E-2"/>
                  <c:y val="-3.41367437284801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BC-47A1-A3A1-DAE88F72EF69}"/>
                </c:ext>
              </c:extLst>
            </c:dLbl>
            <c:dLbl>
              <c:idx val="3"/>
              <c:layout>
                <c:manualLayout>
                  <c:x val="-3.0170081175106302E-2"/>
                  <c:y val="-4.06951959337596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BC-47A1-A3A1-DAE88F72EF69}"/>
                </c:ext>
              </c:extLst>
            </c:dLbl>
            <c:dLbl>
              <c:idx val="4"/>
              <c:layout>
                <c:manualLayout>
                  <c:x val="-3.0170081175106372E-2"/>
                  <c:y val="-3.4136743728480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BC-47A1-A3A1-DAE88F72EF69}"/>
                </c:ext>
              </c:extLst>
            </c:dLbl>
            <c:dLbl>
              <c:idx val="5"/>
              <c:layout>
                <c:manualLayout>
                  <c:x val="-3.0170081175106372E-2"/>
                  <c:y val="-3.08575176258403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5BC-47A1-A3A1-DAE88F72EF69}"/>
                </c:ext>
              </c:extLst>
            </c:dLbl>
            <c:dLbl>
              <c:idx val="6"/>
              <c:layout>
                <c:manualLayout>
                  <c:x val="-3.0170081175106302E-2"/>
                  <c:y val="-3.0857517625840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5BC-47A1-A3A1-DAE88F72EF69}"/>
                </c:ext>
              </c:extLst>
            </c:dLbl>
            <c:dLbl>
              <c:idx val="7"/>
              <c:layout>
                <c:manualLayout>
                  <c:x val="-3.0170081175106302E-2"/>
                  <c:y val="-3.0857517625840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5BC-47A1-A3A1-DAE88F72EF69}"/>
                </c:ext>
              </c:extLst>
            </c:dLbl>
            <c:dLbl>
              <c:idx val="8"/>
              <c:layout>
                <c:manualLayout>
                  <c:x val="-3.0170081175106302E-2"/>
                  <c:y val="-2.42990654205607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5BC-47A1-A3A1-DAE88F72EF69}"/>
                </c:ext>
              </c:extLst>
            </c:dLbl>
            <c:dLbl>
              <c:idx val="9"/>
              <c:layout>
                <c:manualLayout>
                  <c:x val="-3.0170081175106441E-2"/>
                  <c:y val="-2.42990654205607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5BC-47A1-A3A1-DAE88F72EF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'Meta 4'!$Y$7:$Y$16</c:f>
              <c:numCache>
                <c:formatCode>#,##0.0</c:formatCode>
                <c:ptCount val="10"/>
                <c:pt idx="0">
                  <c:v>3.5</c:v>
                </c:pt>
                <c:pt idx="1">
                  <c:v>3.8</c:v>
                </c:pt>
                <c:pt idx="2">
                  <c:v>4</c:v>
                </c:pt>
                <c:pt idx="3">
                  <c:v>4.2</c:v>
                </c:pt>
                <c:pt idx="4">
                  <c:v>4.7</c:v>
                </c:pt>
                <c:pt idx="5">
                  <c:v>4.9000000000000004</c:v>
                </c:pt>
                <c:pt idx="6">
                  <c:v>5.3</c:v>
                </c:pt>
                <c:pt idx="7">
                  <c:v>5.3</c:v>
                </c:pt>
                <c:pt idx="8">
                  <c:v>5.3</c:v>
                </c:pt>
                <c:pt idx="9" formatCode="General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0C8-433C-BA7F-030BC49D6379}"/>
            </c:ext>
          </c:extLst>
        </c:ser>
        <c:ser>
          <c:idx val="2"/>
          <c:order val="3"/>
          <c:tx>
            <c:strRef>
              <c:f>'Meta 4'!$Z$6</c:f>
              <c:strCache>
                <c:ptCount val="1"/>
                <c:pt idx="0">
                  <c:v>Ensino Médio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3"/>
              </a:solidFill>
              <a:ln w="12700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'Meta 4'!$Z$7:$Z$16</c:f>
              <c:numCache>
                <c:formatCode>#,##0.0</c:formatCode>
                <c:ptCount val="10"/>
                <c:pt idx="0">
                  <c:v>3.2</c:v>
                </c:pt>
                <c:pt idx="1">
                  <c:v>3.1</c:v>
                </c:pt>
                <c:pt idx="2">
                  <c:v>3.4</c:v>
                </c:pt>
                <c:pt idx="3">
                  <c:v>3.8</c:v>
                </c:pt>
                <c:pt idx="4">
                  <c:v>4</c:v>
                </c:pt>
                <c:pt idx="5">
                  <c:v>3.9</c:v>
                </c:pt>
                <c:pt idx="6">
                  <c:v>4.3</c:v>
                </c:pt>
                <c:pt idx="7">
                  <c:v>4.8</c:v>
                </c:pt>
                <c:pt idx="8">
                  <c:v>4.5</c:v>
                </c:pt>
                <c:pt idx="9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0C8-433C-BA7F-030BC49D63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28629088"/>
        <c:axId val="-1628617664"/>
        <c:extLst>
          <c:ext xmlns:c15="http://schemas.microsoft.com/office/drawing/2012/chart" uri="{02D57815-91ED-43cb-92C2-25804820EDAC}">
            <c15:filteredLine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4'!$F$6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ln w="28575" cap="rnd">
                    <a:solidFill>
                      <a:schemeClr val="accent6">
                        <a:lumMod val="75000"/>
                      </a:schemeClr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dLbl>
                    <c:idx val="8"/>
                    <c:layout>
                      <c:manualLayout>
                        <c:x val="-2.8621732026143942E-2"/>
                        <c:y val="-3.3722709551656918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C0C8-433C-BA7F-030BC49D6379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4'!$W$7:$W$16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2005</c:v>
                      </c:pt>
                      <c:pt idx="1">
                        <c:v>2007</c:v>
                      </c:pt>
                      <c:pt idx="2">
                        <c:v>2009</c:v>
                      </c:pt>
                      <c:pt idx="3">
                        <c:v>2011</c:v>
                      </c:pt>
                      <c:pt idx="4">
                        <c:v>2013</c:v>
                      </c:pt>
                      <c:pt idx="5">
                        <c:v>2015</c:v>
                      </c:pt>
                      <c:pt idx="6">
                        <c:v>2017</c:v>
                      </c:pt>
                      <c:pt idx="7">
                        <c:v>2019</c:v>
                      </c:pt>
                      <c:pt idx="8">
                        <c:v>2021</c:v>
                      </c:pt>
                      <c:pt idx="9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4'!$F$7:$F$15</c15:sqref>
                        </c15:formulaRef>
                      </c:ext>
                    </c:extLst>
                    <c:numCache>
                      <c:formatCode>0.0</c:formatCode>
                      <c:ptCount val="9"/>
                      <c:pt idx="1">
                        <c:v>4.2</c:v>
                      </c:pt>
                      <c:pt idx="2">
                        <c:v>4.5</c:v>
                      </c:pt>
                      <c:pt idx="3">
                        <c:v>4.9000000000000004</c:v>
                      </c:pt>
                      <c:pt idx="4">
                        <c:v>5.2</c:v>
                      </c:pt>
                      <c:pt idx="5">
                        <c:v>5.4</c:v>
                      </c:pt>
                      <c:pt idx="6">
                        <c:v>5.7</c:v>
                      </c:pt>
                      <c:pt idx="7">
                        <c:v>6</c:v>
                      </c:pt>
                      <c:pt idx="8">
                        <c:v>6.2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4-C0C8-433C-BA7F-030BC49D6379}"/>
                  </c:ext>
                </c:extLst>
              </c15:ser>
            </c15:filteredLineSeries>
          </c:ext>
        </c:extLst>
      </c:lineChart>
      <c:catAx>
        <c:axId val="-162862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8617664"/>
        <c:crosses val="autoZero"/>
        <c:auto val="1"/>
        <c:lblAlgn val="ctr"/>
        <c:lblOffset val="100"/>
        <c:noMultiLvlLbl val="0"/>
      </c:catAx>
      <c:valAx>
        <c:axId val="-1628617664"/>
        <c:scaling>
          <c:orientation val="minMax"/>
          <c:max val="8"/>
          <c:min val="0"/>
        </c:scaling>
        <c:delete val="1"/>
        <c:axPos val="l"/>
        <c:numFmt formatCode="_(* #,##0_);_(* \(#,##0\);_(* &quot;-&quot;_);_(@_)" sourceLinked="0"/>
        <c:majorTickMark val="out"/>
        <c:minorTickMark val="none"/>
        <c:tickLblPos val="nextTo"/>
        <c:crossAx val="-1628629088"/>
        <c:crosses val="autoZero"/>
        <c:crossBetween val="between"/>
        <c:majorUnit val="2.5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1754320018001689"/>
          <c:y val="0.67672485356448009"/>
          <c:w val="0.58056386332853682"/>
          <c:h val="6.4355974194814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452293805528743E-3"/>
          <c:y val="0.10622680573654117"/>
          <c:w val="0.99615477077892234"/>
          <c:h val="0.624349323790344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'Histograma GO'!$G$218:$G$227</c:f>
              <c:strCache>
                <c:ptCount val="10"/>
                <c:pt idx="0">
                  <c:v>Até 25%</c:v>
                </c:pt>
                <c:pt idx="1">
                  <c:v>25% a 33,3%</c:v>
                </c:pt>
                <c:pt idx="2">
                  <c:v>33,4% a 41,7%</c:v>
                </c:pt>
                <c:pt idx="3">
                  <c:v>41,8% a 50%</c:v>
                </c:pt>
                <c:pt idx="4">
                  <c:v>50,1% a 58,3%</c:v>
                </c:pt>
                <c:pt idx="5">
                  <c:v>58,4% a 66,7%</c:v>
                </c:pt>
                <c:pt idx="6">
                  <c:v>66,8% a 75%</c:v>
                </c:pt>
                <c:pt idx="7">
                  <c:v>75,1% a 83,3%</c:v>
                </c:pt>
                <c:pt idx="8">
                  <c:v>83,4% a 91,7%</c:v>
                </c:pt>
                <c:pt idx="9">
                  <c:v>91,8% a 100%</c:v>
                </c:pt>
              </c:strCache>
            </c:strRef>
          </c:cat>
          <c:val>
            <c:numRef>
              <c:f>'Histograma GO'!$H$218:$H$227</c:f>
              <c:numCache>
                <c:formatCode>General</c:formatCode>
                <c:ptCount val="10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9</c:v>
                </c:pt>
                <c:pt idx="4">
                  <c:v>18</c:v>
                </c:pt>
                <c:pt idx="5">
                  <c:v>39</c:v>
                </c:pt>
                <c:pt idx="6">
                  <c:v>52</c:v>
                </c:pt>
                <c:pt idx="7">
                  <c:v>69</c:v>
                </c:pt>
                <c:pt idx="8">
                  <c:v>28</c:v>
                </c:pt>
                <c:pt idx="9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EF-4E2C-973A-D701CE4A18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-25"/>
        <c:axId val="1684833151"/>
        <c:axId val="1684833631"/>
      </c:barChart>
      <c:catAx>
        <c:axId val="1684833151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684833631"/>
        <c:crosses val="autoZero"/>
        <c:auto val="1"/>
        <c:lblAlgn val="ctr"/>
        <c:lblOffset val="100"/>
        <c:noMultiLvlLbl val="0"/>
      </c:catAx>
      <c:valAx>
        <c:axId val="168483363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848331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5453104575163402E-2"/>
          <c:y val="9.1006335282651063E-2"/>
          <c:w val="0.96410702614379085"/>
          <c:h val="0.745345036271933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7'!$B$6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7'!$A$13:$A$25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7'!$B$13:$B$25</c:f>
              <c:numCache>
                <c:formatCode>0.0</c:formatCode>
                <c:ptCount val="13"/>
                <c:pt idx="0">
                  <c:v>92.8</c:v>
                </c:pt>
                <c:pt idx="1">
                  <c:v>92.7</c:v>
                </c:pt>
                <c:pt idx="2">
                  <c:v>92.9</c:v>
                </c:pt>
                <c:pt idx="3">
                  <c:v>92.3</c:v>
                </c:pt>
                <c:pt idx="4">
                  <c:v>93.91</c:v>
                </c:pt>
                <c:pt idx="5">
                  <c:v>93.53</c:v>
                </c:pt>
                <c:pt idx="6">
                  <c:v>94.12</c:v>
                </c:pt>
                <c:pt idx="7">
                  <c:v>94.26</c:v>
                </c:pt>
                <c:pt idx="8">
                  <c:v>94.89</c:v>
                </c:pt>
                <c:pt idx="9">
                  <c:v>96.11</c:v>
                </c:pt>
                <c:pt idx="10">
                  <c:v>95.65</c:v>
                </c:pt>
                <c:pt idx="11">
                  <c:v>95.49</c:v>
                </c:pt>
                <c:pt idx="12">
                  <c:v>95.98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2D78-4D47-9DC3-66DA10DEF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5296800"/>
        <c:axId val="-1625287008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7'!$C$6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dLbls>
                  <c:dLbl>
                    <c:idx val="7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2D78-4D47-9DC3-66DA10DEFDFB}"/>
                      </c:ext>
                    </c:extLst>
                  </c:dLbl>
                  <c:dLbl>
                    <c:idx val="8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2D78-4D47-9DC3-66DA10DEFDFB}"/>
                      </c:ext>
                    </c:extLst>
                  </c:dLbl>
                  <c:dLbl>
                    <c:idx val="9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2D78-4D47-9DC3-66DA10DEFDFB}"/>
                      </c:ext>
                    </c:extLst>
                  </c:dLbl>
                  <c:dLbl>
                    <c:idx val="10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4-2D78-4D47-9DC3-66DA10DEFDFB}"/>
                      </c:ext>
                    </c:extLst>
                  </c:dLbl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5-2D78-4D47-9DC3-66DA10DEFDFB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6-2D78-4D47-9DC3-66DA10DEFDFB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7'!$A$13:$A$25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7'!$C$13:$C$25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95.98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2D78-4D47-9DC3-66DA10DEFDF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7'!$D$6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7'!$D$13:$D$25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95.98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2D78-4D47-9DC3-66DA10DEFDFB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7'!$E$13:$E$25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100</c:v>
                      </c:pt>
                      <c:pt idx="1">
                        <c:v>100</c:v>
                      </c:pt>
                      <c:pt idx="2">
                        <c:v>100</c:v>
                      </c:pt>
                      <c:pt idx="3">
                        <c:v>100</c:v>
                      </c:pt>
                      <c:pt idx="4">
                        <c:v>100</c:v>
                      </c:pt>
                      <c:pt idx="5">
                        <c:v>100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2D78-4D47-9DC3-66DA10DEFDFB}"/>
                  </c:ext>
                </c:extLst>
              </c15:ser>
            </c15:filteredBarSeries>
          </c:ext>
        </c:extLst>
      </c:barChart>
      <c:catAx>
        <c:axId val="-162529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5287008"/>
        <c:crosses val="autoZero"/>
        <c:auto val="1"/>
        <c:lblAlgn val="ctr"/>
        <c:lblOffset val="100"/>
        <c:noMultiLvlLbl val="0"/>
      </c:catAx>
      <c:valAx>
        <c:axId val="-1625287008"/>
        <c:scaling>
          <c:orientation val="minMax"/>
          <c:max val="100"/>
          <c:min val="5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5296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3409313725490197E-2"/>
          <c:y val="0.10029000779344061"/>
          <c:w val="0.98659072358094912"/>
          <c:h val="0.748870832139771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7'!$B$32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7'!$A$39:$A$51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7'!$B$39:$B$51</c:f>
              <c:numCache>
                <c:formatCode>0.0</c:formatCode>
                <c:ptCount val="13"/>
                <c:pt idx="0">
                  <c:v>20.399999999999999</c:v>
                </c:pt>
                <c:pt idx="1">
                  <c:v>17.5</c:v>
                </c:pt>
                <c:pt idx="2">
                  <c:v>17.5</c:v>
                </c:pt>
                <c:pt idx="3">
                  <c:v>17.600000000000001</c:v>
                </c:pt>
                <c:pt idx="4">
                  <c:v>15.02</c:v>
                </c:pt>
                <c:pt idx="5">
                  <c:v>16.579999999999998</c:v>
                </c:pt>
                <c:pt idx="6">
                  <c:v>14.44</c:v>
                </c:pt>
                <c:pt idx="7">
                  <c:v>13.98</c:v>
                </c:pt>
                <c:pt idx="8">
                  <c:v>14.13</c:v>
                </c:pt>
                <c:pt idx="9">
                  <c:v>10.56</c:v>
                </c:pt>
                <c:pt idx="10">
                  <c:v>11.78</c:v>
                </c:pt>
                <c:pt idx="11">
                  <c:v>11.44</c:v>
                </c:pt>
                <c:pt idx="12">
                  <c:v>10.62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5496-435A-A57C-894ED2468E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5282656"/>
        <c:axId val="-1625292992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7'!$C$32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dLbls>
                  <c:dLbl>
                    <c:idx val="7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5496-435A-A57C-894ED2468E63}"/>
                      </c:ext>
                    </c:extLst>
                  </c:dLbl>
                  <c:dLbl>
                    <c:idx val="8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5496-435A-A57C-894ED2468E63}"/>
                      </c:ext>
                    </c:extLst>
                  </c:dLbl>
                  <c:dLbl>
                    <c:idx val="9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5496-435A-A57C-894ED2468E63}"/>
                      </c:ext>
                    </c:extLst>
                  </c:dLbl>
                  <c:dLbl>
                    <c:idx val="10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4-5496-435A-A57C-894ED2468E63}"/>
                      </c:ext>
                    </c:extLst>
                  </c:dLbl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5-5496-435A-A57C-894ED2468E63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6-5496-435A-A57C-894ED2468E63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7'!$A$39:$A$51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7'!$C$39:$C$51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10.62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5496-435A-A57C-894ED2468E63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7'!$D$32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7'!$D$39:$D$51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10.62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5496-435A-A57C-894ED2468E63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7'!$E$32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7'!$E$39:$E$51</c15:sqref>
                        </c15:formulaRef>
                      </c:ext>
                    </c:extLst>
                    <c:numCache>
                      <c:formatCode>0.0</c:formatCode>
                      <c:ptCount val="13"/>
                      <c:pt idx="0">
                        <c:v>8.8000000000000007</c:v>
                      </c:pt>
                      <c:pt idx="1">
                        <c:v>8.8000000000000007</c:v>
                      </c:pt>
                      <c:pt idx="2">
                        <c:v>8.8000000000000007</c:v>
                      </c:pt>
                      <c:pt idx="3">
                        <c:v>8.8000000000000007</c:v>
                      </c:pt>
                      <c:pt idx="4">
                        <c:v>8.8000000000000007</c:v>
                      </c:pt>
                      <c:pt idx="5">
                        <c:v>8.8000000000000007</c:v>
                      </c:pt>
                      <c:pt idx="6">
                        <c:v>8.8000000000000007</c:v>
                      </c:pt>
                      <c:pt idx="7">
                        <c:v>8.8000000000000007</c:v>
                      </c:pt>
                      <c:pt idx="8">
                        <c:v>8.8000000000000007</c:v>
                      </c:pt>
                      <c:pt idx="9">
                        <c:v>8.8000000000000007</c:v>
                      </c:pt>
                      <c:pt idx="10">
                        <c:v>8.8000000000000007</c:v>
                      </c:pt>
                      <c:pt idx="11">
                        <c:v>8.8000000000000007</c:v>
                      </c:pt>
                      <c:pt idx="12">
                        <c:v>8.8000000000000007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5496-435A-A57C-894ED2468E63}"/>
                  </c:ext>
                </c:extLst>
              </c15:ser>
            </c15:filteredBarSeries>
          </c:ext>
        </c:extLst>
      </c:barChart>
      <c:catAx>
        <c:axId val="-162528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5292992"/>
        <c:crosses val="autoZero"/>
        <c:auto val="1"/>
        <c:lblAlgn val="ctr"/>
        <c:lblOffset val="100"/>
        <c:noMultiLvlLbl val="0"/>
      </c:catAx>
      <c:valAx>
        <c:axId val="-1625292992"/>
        <c:scaling>
          <c:orientation val="minMax"/>
          <c:max val="25"/>
          <c:min val="7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5282656"/>
        <c:crosses val="autoZero"/>
        <c:crossBetween val="between"/>
        <c:majorUnit val="9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.18594154289516984"/>
          <c:w val="0.98889154239493182"/>
          <c:h val="0.648670291672027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11'!$B$6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2"/>
              <c:layout>
                <c:manualLayout>
                  <c:x val="-2.9080587148830068E-3"/>
                  <c:y val="7.94789098702051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ADB-4879-BA81-0E50BD3F63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11'!$A$9:$A$21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11'!$B$9:$B$21</c:f>
              <c:numCache>
                <c:formatCode>0.0</c:formatCode>
                <c:ptCount val="13"/>
                <c:pt idx="0">
                  <c:v>95</c:v>
                </c:pt>
                <c:pt idx="1">
                  <c:v>96.5</c:v>
                </c:pt>
                <c:pt idx="2">
                  <c:v>96.1</c:v>
                </c:pt>
                <c:pt idx="3">
                  <c:v>97.3</c:v>
                </c:pt>
                <c:pt idx="4">
                  <c:v>97</c:v>
                </c:pt>
                <c:pt idx="5">
                  <c:v>96.01</c:v>
                </c:pt>
                <c:pt idx="6">
                  <c:v>96.77</c:v>
                </c:pt>
                <c:pt idx="7">
                  <c:v>97.07</c:v>
                </c:pt>
                <c:pt idx="8">
                  <c:v>97</c:v>
                </c:pt>
                <c:pt idx="9">
                  <c:v>95.98</c:v>
                </c:pt>
                <c:pt idx="10">
                  <c:v>96.1</c:v>
                </c:pt>
                <c:pt idx="11">
                  <c:v>96.13</c:v>
                </c:pt>
                <c:pt idx="12">
                  <c:v>96.7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DADB-4879-BA81-0E50BD3F63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5292448"/>
        <c:axId val="-162529136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11'!$C$6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5">
                        <a:lumMod val="75000"/>
                      </a:schemeClr>
                    </a:solidFill>
                    <a:prstDash val="dash"/>
                  </a:ln>
                  <a:effectLst/>
                </c:spPr>
                <c:invertIfNegative val="0"/>
                <c:dLbls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DADB-4879-BA81-0E50BD3F637D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DADB-4879-BA81-0E50BD3F637D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11'!$A$9:$A$21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11'!$C$9:$C$21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96.7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DADB-4879-BA81-0E50BD3F637D}"/>
                  </c:ext>
                </c:extLst>
              </c15:ser>
            </c15:filteredBarSeries>
            <c15:filteredBarSeries>
              <c15:ser>
                <c:idx val="6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11'!$D$6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solidFill>
                      <a:schemeClr val="accent3"/>
                    </a:solidFill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11'!$A$9:$A$21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11'!$D$9:$D$21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96.7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DADB-4879-BA81-0E50BD3F637D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11'!$A$9:$A$21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11'!$E$9:$E$21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100</c:v>
                      </c:pt>
                      <c:pt idx="1">
                        <c:v>100</c:v>
                      </c:pt>
                      <c:pt idx="2">
                        <c:v>100</c:v>
                      </c:pt>
                      <c:pt idx="3">
                        <c:v>100</c:v>
                      </c:pt>
                      <c:pt idx="4">
                        <c:v>100</c:v>
                      </c:pt>
                      <c:pt idx="5">
                        <c:v>100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DADB-4879-BA81-0E50BD3F637D}"/>
                  </c:ext>
                </c:extLst>
              </c15:ser>
            </c15:filteredBarSeries>
          </c:ext>
        </c:extLst>
      </c:barChart>
      <c:catAx>
        <c:axId val="-1625292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5291360"/>
        <c:crosses val="autoZero"/>
        <c:auto val="1"/>
        <c:lblAlgn val="ctr"/>
        <c:lblOffset val="100"/>
        <c:noMultiLvlLbl val="0"/>
      </c:catAx>
      <c:valAx>
        <c:axId val="-1625291360"/>
        <c:scaling>
          <c:orientation val="minMax"/>
          <c:max val="100"/>
          <c:min val="75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5292448"/>
        <c:crosses val="autoZero"/>
        <c:crossBetween val="between"/>
        <c:majorUnit val="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3377941176470591E-2"/>
          <c:y val="0.13742446393762181"/>
          <c:w val="0.96618218954248369"/>
          <c:h val="0.69511254407637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6'!$B$79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6'!$A$86:$A$98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6'!$B$86:$B$98</c:f>
              <c:numCache>
                <c:formatCode>0.0</c:formatCode>
                <c:ptCount val="13"/>
                <c:pt idx="0">
                  <c:v>85.12</c:v>
                </c:pt>
                <c:pt idx="1">
                  <c:v>86.02</c:v>
                </c:pt>
                <c:pt idx="2">
                  <c:v>88.2</c:v>
                </c:pt>
                <c:pt idx="3">
                  <c:v>88.16</c:v>
                </c:pt>
                <c:pt idx="4">
                  <c:v>88.61</c:v>
                </c:pt>
                <c:pt idx="5">
                  <c:v>87.67</c:v>
                </c:pt>
                <c:pt idx="6">
                  <c:v>88.67</c:v>
                </c:pt>
                <c:pt idx="7">
                  <c:v>87.83</c:v>
                </c:pt>
                <c:pt idx="8">
                  <c:v>89.95</c:v>
                </c:pt>
                <c:pt idx="9">
                  <c:v>94.4</c:v>
                </c:pt>
                <c:pt idx="10">
                  <c:v>91.65</c:v>
                </c:pt>
                <c:pt idx="11">
                  <c:v>92.25</c:v>
                </c:pt>
                <c:pt idx="12">
                  <c:v>98.07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BE9-4870-B19F-F0D96B31C5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5284288"/>
        <c:axId val="-1625287552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6'!$C$79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'Meta 6'!$A$86:$A$98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6'!$C$86:$C$98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98.07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BE9-4870-B19F-F0D96B31C56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6'!$D$79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6'!$A$86:$A$98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6'!$D$86:$D$98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98.07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BE9-4870-B19F-F0D96B31C56D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6'!$E$79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6'!$A$86:$A$98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6'!$E$86:$E$98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100</c:v>
                      </c:pt>
                      <c:pt idx="1">
                        <c:v>100</c:v>
                      </c:pt>
                      <c:pt idx="2">
                        <c:v>100</c:v>
                      </c:pt>
                      <c:pt idx="3">
                        <c:v>100</c:v>
                      </c:pt>
                      <c:pt idx="4">
                        <c:v>100</c:v>
                      </c:pt>
                      <c:pt idx="5">
                        <c:v>100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EBE9-4870-B19F-F0D96B31C56D}"/>
                  </c:ext>
                </c:extLst>
              </c15:ser>
            </c15:filteredBarSeries>
          </c:ext>
        </c:extLst>
      </c:barChart>
      <c:catAx>
        <c:axId val="-162528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5287552"/>
        <c:crosses val="autoZero"/>
        <c:auto val="1"/>
        <c:lblAlgn val="ctr"/>
        <c:lblOffset val="100"/>
        <c:noMultiLvlLbl val="0"/>
      </c:catAx>
      <c:valAx>
        <c:axId val="-1625287552"/>
        <c:scaling>
          <c:orientation val="minMax"/>
          <c:max val="100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5284288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0959156421236821E-2"/>
          <c:y val="0.13811821316453091"/>
          <c:w val="0.97668124817731117"/>
          <c:h val="0.710872127979667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11'!$B$34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11'!$A$36:$A$48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11'!$B$36:$B$48</c:f>
              <c:numCache>
                <c:formatCode>0.0</c:formatCode>
                <c:ptCount val="13"/>
                <c:pt idx="0">
                  <c:v>48.86</c:v>
                </c:pt>
                <c:pt idx="1">
                  <c:v>49.21</c:v>
                </c:pt>
                <c:pt idx="2">
                  <c:v>46.3</c:v>
                </c:pt>
                <c:pt idx="3">
                  <c:v>51.6</c:v>
                </c:pt>
                <c:pt idx="4">
                  <c:v>49.6</c:v>
                </c:pt>
                <c:pt idx="5">
                  <c:v>48.55</c:v>
                </c:pt>
                <c:pt idx="6">
                  <c:v>48.5</c:v>
                </c:pt>
                <c:pt idx="7">
                  <c:v>45.5</c:v>
                </c:pt>
                <c:pt idx="8">
                  <c:v>47.3</c:v>
                </c:pt>
                <c:pt idx="9">
                  <c:v>29.75</c:v>
                </c:pt>
                <c:pt idx="10">
                  <c:v>42.3</c:v>
                </c:pt>
                <c:pt idx="11">
                  <c:v>42.24</c:v>
                </c:pt>
                <c:pt idx="12">
                  <c:v>39.729999999999997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DF5-4E28-AC67-4E1923A07F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5289728"/>
        <c:axId val="-1623982544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11'!$C$34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5">
                        <a:lumMod val="75000"/>
                      </a:schemeClr>
                    </a:solidFill>
                    <a:prstDash val="dash"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'Meta 11'!$A$36:$A$48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11'!$C$36:$C$48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39.729999999999997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DF5-4E28-AC67-4E1923A07FE3}"/>
                  </c:ext>
                </c:extLst>
              </c15:ser>
            </c15:filteredBarSeries>
            <c15:filteredBarSeries>
              <c15:ser>
                <c:idx val="6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11'!$D$34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solidFill>
                      <a:schemeClr val="accent3"/>
                    </a:solidFill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11'!$A$36:$A$48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11'!$D$36:$D$48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39.729999999999997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7DF5-4E28-AC67-4E1923A07FE3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11'!$E$34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11'!$A$36:$A$48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11'!$E$36:$E$48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100</c:v>
                      </c:pt>
                      <c:pt idx="1">
                        <c:v>100</c:v>
                      </c:pt>
                      <c:pt idx="2">
                        <c:v>100</c:v>
                      </c:pt>
                      <c:pt idx="3">
                        <c:v>100</c:v>
                      </c:pt>
                      <c:pt idx="4">
                        <c:v>100</c:v>
                      </c:pt>
                      <c:pt idx="5">
                        <c:v>100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7DF5-4E28-AC67-4E1923A07FE3}"/>
                  </c:ext>
                </c:extLst>
              </c15:ser>
            </c15:filteredBarSeries>
          </c:ext>
        </c:extLst>
      </c:barChart>
      <c:catAx>
        <c:axId val="-162528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3982544"/>
        <c:crosses val="autoZero"/>
        <c:auto val="1"/>
        <c:lblAlgn val="ctr"/>
        <c:lblOffset val="100"/>
        <c:noMultiLvlLbl val="0"/>
      </c:catAx>
      <c:valAx>
        <c:axId val="-1623982544"/>
        <c:scaling>
          <c:orientation val="minMax"/>
          <c:max val="100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528972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992125984251968E-3"/>
          <c:y val="0.11806801341549022"/>
          <c:w val="0.99370078740157475"/>
          <c:h val="0.6842656967014548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Planilha1!$B$41</c:f>
              <c:strCache>
                <c:ptCount val="1"/>
                <c:pt idx="0">
                  <c:v>Diurno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Planilha1!$A$42:$A$51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Planilha1!$B$42:$B$51</c:f>
              <c:numCache>
                <c:formatCode>0.0%</c:formatCode>
                <c:ptCount val="10"/>
                <c:pt idx="0">
                  <c:v>0.89855138863435713</c:v>
                </c:pt>
                <c:pt idx="1">
                  <c:v>0.90476939720128435</c:v>
                </c:pt>
                <c:pt idx="2">
                  <c:v>0.90971538739674473</c:v>
                </c:pt>
                <c:pt idx="3">
                  <c:v>0.91425612518852506</c:v>
                </c:pt>
                <c:pt idx="4">
                  <c:v>0.91446525120712396</c:v>
                </c:pt>
                <c:pt idx="5">
                  <c:v>0.92598942725904343</c:v>
                </c:pt>
                <c:pt idx="6">
                  <c:v>0.92336396984139135</c:v>
                </c:pt>
                <c:pt idx="7">
                  <c:v>0.93330142013722683</c:v>
                </c:pt>
                <c:pt idx="8">
                  <c:v>0.94105661496218906</c:v>
                </c:pt>
                <c:pt idx="9">
                  <c:v>0.94978505474087827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FF-4C37-BC61-57876F415F22}"/>
            </c:ext>
          </c:extLst>
        </c:ser>
        <c:ser>
          <c:idx val="1"/>
          <c:order val="1"/>
          <c:tx>
            <c:strRef>
              <c:f>Planilha1!$C$41</c:f>
              <c:strCache>
                <c:ptCount val="1"/>
                <c:pt idx="0">
                  <c:v>Noturno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Planilha1!$A$42:$A$51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Planilha1!$C$42:$C$51</c:f>
              <c:numCache>
                <c:formatCode>0.0%</c:formatCode>
                <c:ptCount val="10"/>
                <c:pt idx="0">
                  <c:v>0.10144861136564284</c:v>
                </c:pt>
                <c:pt idx="1">
                  <c:v>9.5230602798715688E-2</c:v>
                </c:pt>
                <c:pt idx="2">
                  <c:v>9.0284612603255335E-2</c:v>
                </c:pt>
                <c:pt idx="3">
                  <c:v>8.5743874811474913E-2</c:v>
                </c:pt>
                <c:pt idx="4">
                  <c:v>8.5534748792875953E-2</c:v>
                </c:pt>
                <c:pt idx="5">
                  <c:v>7.4010572740956682E-2</c:v>
                </c:pt>
                <c:pt idx="6">
                  <c:v>7.6636030158608648E-2</c:v>
                </c:pt>
                <c:pt idx="7">
                  <c:v>6.6698579862773194E-2</c:v>
                </c:pt>
                <c:pt idx="8">
                  <c:v>5.8943385037810866E-2</c:v>
                </c:pt>
                <c:pt idx="9">
                  <c:v>5.0214945259121666E-2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FF-4C37-BC61-57876F415F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478325440"/>
        <c:axId val="478327840"/>
      </c:barChart>
      <c:catAx>
        <c:axId val="47832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478327840"/>
        <c:crosses val="autoZero"/>
        <c:auto val="1"/>
        <c:lblAlgn val="ctr"/>
        <c:lblOffset val="100"/>
        <c:noMultiLvlLbl val="0"/>
      </c:catAx>
      <c:valAx>
        <c:axId val="478327840"/>
        <c:scaling>
          <c:orientation val="minMax"/>
          <c:max val="1"/>
          <c:min val="0"/>
        </c:scaling>
        <c:delete val="1"/>
        <c:axPos val="l"/>
        <c:numFmt formatCode="0.0%" sourceLinked="1"/>
        <c:majorTickMark val="none"/>
        <c:minorTickMark val="none"/>
        <c:tickLblPos val="nextTo"/>
        <c:crossAx val="47832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2990686193788901"/>
          <c:y val="0.87706138266561307"/>
          <c:w val="0.24968018546570325"/>
          <c:h val="4.99448498524707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785688154079058E-2"/>
          <c:y val="0.1472392448365786"/>
          <c:w val="0.98119048964346889"/>
          <c:h val="0.65800500010048257"/>
        </c:manualLayout>
      </c:layout>
      <c:lineChart>
        <c:grouping val="standard"/>
        <c:varyColors val="0"/>
        <c:ser>
          <c:idx val="0"/>
          <c:order val="0"/>
          <c:tx>
            <c:strRef>
              <c:f>'Meta 10'!$B$59</c:f>
              <c:strCache>
                <c:ptCount val="1"/>
                <c:pt idx="0">
                  <c:v>Geral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10'!$A$63:$A$75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</c:numRef>
          </c:cat>
          <c:val>
            <c:numRef>
              <c:f>'Meta 10'!$B$63:$B$75</c:f>
              <c:numCache>
                <c:formatCode>_-* #,##0_-;\-* #,##0_-;_-* "-"??_-;_-@_-</c:formatCode>
                <c:ptCount val="13"/>
                <c:pt idx="0">
                  <c:v>21315</c:v>
                </c:pt>
                <c:pt idx="1">
                  <c:v>24654</c:v>
                </c:pt>
                <c:pt idx="2">
                  <c:v>27091</c:v>
                </c:pt>
                <c:pt idx="3">
                  <c:v>31555</c:v>
                </c:pt>
                <c:pt idx="4">
                  <c:v>39149</c:v>
                </c:pt>
                <c:pt idx="5">
                  <c:v>32275</c:v>
                </c:pt>
                <c:pt idx="6">
                  <c:v>26239</c:v>
                </c:pt>
                <c:pt idx="7">
                  <c:v>31612</c:v>
                </c:pt>
                <c:pt idx="8">
                  <c:v>30282</c:v>
                </c:pt>
                <c:pt idx="9">
                  <c:v>30788</c:v>
                </c:pt>
                <c:pt idx="10">
                  <c:v>30112</c:v>
                </c:pt>
                <c:pt idx="11">
                  <c:v>32720</c:v>
                </c:pt>
                <c:pt idx="12">
                  <c:v>37651.000000000007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3A-4F93-A54A-3CE1FBB804E7}"/>
            </c:ext>
          </c:extLst>
        </c:ser>
        <c:ser>
          <c:idx val="1"/>
          <c:order val="1"/>
          <c:tx>
            <c:strRef>
              <c:f>'Meta 10'!$C$59</c:f>
              <c:strCache>
                <c:ptCount val="1"/>
                <c:pt idx="0">
                  <c:v>Rede Pública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10'!$A$63:$A$75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</c:numRef>
          </c:cat>
          <c:val>
            <c:numRef>
              <c:f>'Meta 10'!$C$63:$C$75</c:f>
              <c:numCache>
                <c:formatCode>_-* #,##0_-;\-* #,##0_-;_-* "-"??_-;_-@_-</c:formatCode>
                <c:ptCount val="13"/>
                <c:pt idx="0">
                  <c:v>8653.8900000000012</c:v>
                </c:pt>
                <c:pt idx="1">
                  <c:v>8949.402</c:v>
                </c:pt>
                <c:pt idx="2">
                  <c:v>9210.94</c:v>
                </c:pt>
                <c:pt idx="3">
                  <c:v>9434.9449999999997</c:v>
                </c:pt>
                <c:pt idx="4">
                  <c:v>17656.199000000001</c:v>
                </c:pt>
                <c:pt idx="5">
                  <c:v>16202.05</c:v>
                </c:pt>
                <c:pt idx="6">
                  <c:v>12130</c:v>
                </c:pt>
                <c:pt idx="7">
                  <c:v>15776</c:v>
                </c:pt>
                <c:pt idx="8">
                  <c:v>13032</c:v>
                </c:pt>
                <c:pt idx="9">
                  <c:v>14913</c:v>
                </c:pt>
                <c:pt idx="10">
                  <c:v>15374</c:v>
                </c:pt>
                <c:pt idx="11">
                  <c:v>13936</c:v>
                </c:pt>
                <c:pt idx="12">
                  <c:v>14368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3A-4F93-A54A-3CE1FBB804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5020880"/>
        <c:axId val="1345021360"/>
      </c:lineChart>
      <c:catAx>
        <c:axId val="134502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45021360"/>
        <c:crosses val="autoZero"/>
        <c:auto val="1"/>
        <c:lblAlgn val="ctr"/>
        <c:lblOffset val="100"/>
        <c:noMultiLvlLbl val="0"/>
      </c:catAx>
      <c:valAx>
        <c:axId val="1345021360"/>
        <c:scaling>
          <c:orientation val="minMax"/>
        </c:scaling>
        <c:delete val="1"/>
        <c:axPos val="l"/>
        <c:numFmt formatCode="_-* #,##0_-;\-* #,##0_-;_-* &quot;-&quot;??_-;_-@_-" sourceLinked="1"/>
        <c:majorTickMark val="none"/>
        <c:minorTickMark val="none"/>
        <c:tickLblPos val="nextTo"/>
        <c:crossAx val="1345020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177679626792525"/>
          <c:y val="0.90649031337366337"/>
          <c:w val="0.38822320373207481"/>
          <c:h val="5.6269150084148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656219443157827E-3"/>
          <c:y val="0.10909384492993726"/>
          <c:w val="0.98104207562290013"/>
          <c:h val="0.720069682019990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13'!$B$6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13'!$A$13:$A$25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13'!$B$13:$B$25</c:f>
              <c:numCache>
                <c:formatCode>0.0</c:formatCode>
                <c:ptCount val="13"/>
                <c:pt idx="0">
                  <c:v>33.1</c:v>
                </c:pt>
                <c:pt idx="1">
                  <c:v>31.7</c:v>
                </c:pt>
                <c:pt idx="2">
                  <c:v>36.5</c:v>
                </c:pt>
                <c:pt idx="3">
                  <c:v>36.700000000000003</c:v>
                </c:pt>
                <c:pt idx="4">
                  <c:v>38.74</c:v>
                </c:pt>
                <c:pt idx="5">
                  <c:v>37.020000000000003</c:v>
                </c:pt>
                <c:pt idx="6">
                  <c:v>38.25</c:v>
                </c:pt>
                <c:pt idx="7">
                  <c:v>42.23</c:v>
                </c:pt>
                <c:pt idx="8">
                  <c:v>42.18</c:v>
                </c:pt>
                <c:pt idx="9">
                  <c:v>41.74</c:v>
                </c:pt>
                <c:pt idx="10">
                  <c:v>39.799999999999997</c:v>
                </c:pt>
                <c:pt idx="11">
                  <c:v>40.880000000000003</c:v>
                </c:pt>
                <c:pt idx="12">
                  <c:v>40.799999999999997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F4C-42AF-9F88-B85FD941D4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3978736"/>
        <c:axId val="-1623988528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13'!$C$6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dLbls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6F4C-42AF-9F88-B85FD941D47E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6F4C-42AF-9F88-B85FD941D47E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13'!$A$13:$A$25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13'!$C$13:$C$25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40.799999999999997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6F4C-42AF-9F88-B85FD941D47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13'!$D$6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13'!$D$13:$D$25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40.799999999999997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6F4C-42AF-9F88-B85FD941D47E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13'!$E$13:$E$25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50</c:v>
                      </c:pt>
                      <c:pt idx="1">
                        <c:v>50</c:v>
                      </c:pt>
                      <c:pt idx="2">
                        <c:v>50</c:v>
                      </c:pt>
                      <c:pt idx="3">
                        <c:v>50</c:v>
                      </c:pt>
                      <c:pt idx="4">
                        <c:v>50</c:v>
                      </c:pt>
                      <c:pt idx="5">
                        <c:v>50</c:v>
                      </c:pt>
                      <c:pt idx="6">
                        <c:v>50</c:v>
                      </c:pt>
                      <c:pt idx="7">
                        <c:v>50</c:v>
                      </c:pt>
                      <c:pt idx="8">
                        <c:v>50</c:v>
                      </c:pt>
                      <c:pt idx="9">
                        <c:v>50</c:v>
                      </c:pt>
                      <c:pt idx="10">
                        <c:v>50</c:v>
                      </c:pt>
                      <c:pt idx="11">
                        <c:v>50</c:v>
                      </c:pt>
                      <c:pt idx="12">
                        <c:v>50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6F4C-42AF-9F88-B85FD941D47E}"/>
                  </c:ext>
                </c:extLst>
              </c15:ser>
            </c15:filteredBarSeries>
          </c:ext>
        </c:extLst>
      </c:barChart>
      <c:catAx>
        <c:axId val="-1623978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3988528"/>
        <c:crosses val="autoZero"/>
        <c:auto val="1"/>
        <c:lblAlgn val="ctr"/>
        <c:lblOffset val="100"/>
        <c:noMultiLvlLbl val="0"/>
      </c:catAx>
      <c:valAx>
        <c:axId val="-1623988528"/>
        <c:scaling>
          <c:orientation val="minMax"/>
          <c:max val="50.1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397873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.11122867727562731"/>
          <c:w val="1"/>
          <c:h val="0.688443654446495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13'!$B$33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13'!$A$40:$A$52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13'!$B$40:$B$52</c:f>
              <c:numCache>
                <c:formatCode>0.0</c:formatCode>
                <c:ptCount val="13"/>
                <c:pt idx="0">
                  <c:v>22.8</c:v>
                </c:pt>
                <c:pt idx="1">
                  <c:v>22.1</c:v>
                </c:pt>
                <c:pt idx="2">
                  <c:v>26.2</c:v>
                </c:pt>
                <c:pt idx="3">
                  <c:v>24.1</c:v>
                </c:pt>
                <c:pt idx="4">
                  <c:v>26.09</c:v>
                </c:pt>
                <c:pt idx="5">
                  <c:v>26.75</c:v>
                </c:pt>
                <c:pt idx="6">
                  <c:v>27.36</c:v>
                </c:pt>
                <c:pt idx="7">
                  <c:v>30.16</c:v>
                </c:pt>
                <c:pt idx="8">
                  <c:v>30.9</c:v>
                </c:pt>
                <c:pt idx="9">
                  <c:v>32.020000000000003</c:v>
                </c:pt>
                <c:pt idx="10">
                  <c:v>26.8</c:v>
                </c:pt>
                <c:pt idx="11">
                  <c:v>28.83</c:v>
                </c:pt>
                <c:pt idx="12">
                  <c:v>26.72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3B87-4C68-8025-7F1C08AB1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3983632"/>
        <c:axId val="-1623982000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13'!$C$33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dLbls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3B87-4C68-8025-7F1C08AB1170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4-3B87-4C68-8025-7F1C08AB1170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13'!$A$40:$A$52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13'!$C$40:$C$52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26.72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3B87-4C68-8025-7F1C08AB1170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13'!$D$33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13'!$A$40:$A$52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13'!$D$40:$D$52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26.72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3B87-4C68-8025-7F1C08AB1170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13'!$E$33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13'!$A$40:$A$52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13'!$E$40:$E$52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33</c:v>
                      </c:pt>
                      <c:pt idx="1">
                        <c:v>33</c:v>
                      </c:pt>
                      <c:pt idx="2">
                        <c:v>33</c:v>
                      </c:pt>
                      <c:pt idx="3">
                        <c:v>33</c:v>
                      </c:pt>
                      <c:pt idx="4">
                        <c:v>33</c:v>
                      </c:pt>
                      <c:pt idx="5">
                        <c:v>33</c:v>
                      </c:pt>
                      <c:pt idx="6">
                        <c:v>33</c:v>
                      </c:pt>
                      <c:pt idx="7">
                        <c:v>33</c:v>
                      </c:pt>
                      <c:pt idx="8">
                        <c:v>33</c:v>
                      </c:pt>
                      <c:pt idx="9">
                        <c:v>33</c:v>
                      </c:pt>
                      <c:pt idx="10">
                        <c:v>33</c:v>
                      </c:pt>
                      <c:pt idx="11">
                        <c:v>33</c:v>
                      </c:pt>
                      <c:pt idx="12">
                        <c:v>33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3B87-4C68-8025-7F1C08AB1170}"/>
                  </c:ext>
                </c:extLst>
              </c15:ser>
            </c15:filteredBarSeries>
          </c:ext>
        </c:extLst>
      </c:barChart>
      <c:catAx>
        <c:axId val="-162398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3982000"/>
        <c:crosses val="autoZero"/>
        <c:auto val="1"/>
        <c:lblAlgn val="ctr"/>
        <c:lblOffset val="100"/>
        <c:noMultiLvlLbl val="0"/>
      </c:catAx>
      <c:valAx>
        <c:axId val="-1623982000"/>
        <c:scaling>
          <c:orientation val="minMax"/>
          <c:max val="40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3983632"/>
        <c:crosses val="autoZero"/>
        <c:crossBetween val="between"/>
        <c:majorUnit val="33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896258852417046E-3"/>
          <c:y val="0.10112844664348618"/>
          <c:w val="0.98750490794371615"/>
          <c:h val="0.716880065390459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14'!$C$6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14'!$A$8:$A$20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14'!$C$8:$C$20</c:f>
              <c:numCache>
                <c:formatCode>0.0</c:formatCode>
                <c:ptCount val="13"/>
                <c:pt idx="0">
                  <c:v>55.24</c:v>
                </c:pt>
                <c:pt idx="1">
                  <c:v>56.2</c:v>
                </c:pt>
                <c:pt idx="2">
                  <c:v>59.6</c:v>
                </c:pt>
                <c:pt idx="3">
                  <c:v>61.6</c:v>
                </c:pt>
                <c:pt idx="4">
                  <c:v>66</c:v>
                </c:pt>
                <c:pt idx="5">
                  <c:v>69.08</c:v>
                </c:pt>
                <c:pt idx="6">
                  <c:v>73.03</c:v>
                </c:pt>
                <c:pt idx="7">
                  <c:v>75.75</c:v>
                </c:pt>
                <c:pt idx="8">
                  <c:v>77.92</c:v>
                </c:pt>
                <c:pt idx="9">
                  <c:v>80.23</c:v>
                </c:pt>
                <c:pt idx="10">
                  <c:v>80.040000000000006</c:v>
                </c:pt>
                <c:pt idx="11">
                  <c:v>79</c:v>
                </c:pt>
                <c:pt idx="12">
                  <c:v>82.2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35E-42B7-8F94-511CBA7C6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3977104"/>
        <c:axId val="-1623975472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14'!$F$6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'Meta 14'!$A$8:$A$20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14'!$F$8:$F$20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 formatCode="General">
                        <c:v>75</c:v>
                      </c:pt>
                      <c:pt idx="1">
                        <c:v>75</c:v>
                      </c:pt>
                      <c:pt idx="2">
                        <c:v>75</c:v>
                      </c:pt>
                      <c:pt idx="3">
                        <c:v>75</c:v>
                      </c:pt>
                      <c:pt idx="4">
                        <c:v>75</c:v>
                      </c:pt>
                      <c:pt idx="5">
                        <c:v>75</c:v>
                      </c:pt>
                      <c:pt idx="6">
                        <c:v>75</c:v>
                      </c:pt>
                      <c:pt idx="7">
                        <c:v>75</c:v>
                      </c:pt>
                      <c:pt idx="8">
                        <c:v>75</c:v>
                      </c:pt>
                      <c:pt idx="9">
                        <c:v>75</c:v>
                      </c:pt>
                      <c:pt idx="10">
                        <c:v>75</c:v>
                      </c:pt>
                      <c:pt idx="11">
                        <c:v>75</c:v>
                      </c:pt>
                      <c:pt idx="12">
                        <c:v>75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35E-42B7-8F94-511CBA7C695E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14'!$D$6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5">
                        <a:lumMod val="75000"/>
                      </a:schemeClr>
                    </a:solidFill>
                    <a:prstDash val="dash"/>
                  </a:ln>
                  <a:effectLst/>
                </c:spPr>
                <c:invertIfNegative val="0"/>
                <c:dLbls>
                  <c:dLbl>
                    <c:idx val="10"/>
                    <c:delete val="1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2-E35E-42B7-8F94-511CBA7C695E}"/>
                      </c:ext>
                    </c:extLst>
                  </c:dLbl>
                  <c:dLbl>
                    <c:idx val="11"/>
                    <c:delete val="1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3-E35E-42B7-8F94-511CBA7C695E}"/>
                      </c:ext>
                    </c:extLst>
                  </c:dLbl>
                  <c:dLbl>
                    <c:idx val="12"/>
                    <c:delete val="1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4-E35E-42B7-8F94-511CBA7C695E}"/>
                      </c:ext>
                    </c:extLst>
                  </c:dLbl>
                  <c:numFmt formatCode="0.0" sourceLinked="0"/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14'!$D$8:$D$20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1" formatCode="0.0">
                        <c:v>79</c:v>
                      </c:pt>
                      <c:pt idx="12" formatCode="0.0">
                        <c:v>86.084230769230999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E35E-42B7-8F94-511CBA7C695E}"/>
                  </c:ext>
                </c:extLst>
              </c15:ser>
            </c15:filteredBarSeries>
          </c:ext>
        </c:extLst>
      </c:barChart>
      <c:catAx>
        <c:axId val="-162397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3975472"/>
        <c:crosses val="autoZero"/>
        <c:auto val="1"/>
        <c:lblAlgn val="ctr"/>
        <c:lblOffset val="100"/>
        <c:noMultiLvlLbl val="0"/>
      </c:catAx>
      <c:valAx>
        <c:axId val="-1623975472"/>
        <c:scaling>
          <c:orientation val="minMax"/>
          <c:max val="100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3977104"/>
        <c:crosses val="autoZero"/>
        <c:crossBetween val="between"/>
        <c:majorUnit val="7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580978812951995E-3"/>
          <c:y val="0.10731022143820096"/>
          <c:w val="0.99233484187335519"/>
          <c:h val="0.689493873285845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21'!$B$8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21'!$A$9:$A$20</c:f>
              <c:numCache>
                <c:formatCode>General</c:formatCode>
                <c:ptCount val="12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</c:numCache>
              <c:extLst/>
            </c:numRef>
          </c:cat>
          <c:val>
            <c:numRef>
              <c:f>'Meta 21'!$B$9:$B$20</c:f>
              <c:numCache>
                <c:formatCode>0.0</c:formatCode>
                <c:ptCount val="12"/>
                <c:pt idx="0">
                  <c:v>4.3298521599523854</c:v>
                </c:pt>
                <c:pt idx="1">
                  <c:v>4.5040520293603707</c:v>
                </c:pt>
                <c:pt idx="2">
                  <c:v>4.7809648373798286</c:v>
                </c:pt>
                <c:pt idx="3">
                  <c:v>4.877621062418223</c:v>
                </c:pt>
                <c:pt idx="4">
                  <c:v>5.0842789883892889</c:v>
                </c:pt>
                <c:pt idx="5">
                  <c:v>4.7983472330035237</c:v>
                </c:pt>
                <c:pt idx="6">
                  <c:v>5.1477239618397155</c:v>
                </c:pt>
                <c:pt idx="7">
                  <c:v>5.2388705599865242</c:v>
                </c:pt>
                <c:pt idx="8">
                  <c:v>5.5533095170366016</c:v>
                </c:pt>
                <c:pt idx="9">
                  <c:v>5.08</c:v>
                </c:pt>
                <c:pt idx="10">
                  <c:v>4.9800000000000004</c:v>
                </c:pt>
                <c:pt idx="11">
                  <c:v>5.3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FA8-4F45-8559-7815400653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3493344"/>
        <c:axId val="-1623480288"/>
        <c:extLst>
          <c:ext xmlns:c15="http://schemas.microsoft.com/office/drawing/2012/chart" uri="{02D57815-91ED-43cb-92C2-25804820EDAC}">
            <c15:filteredBarSeries>
              <c15:ser>
                <c:idx val="2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21'!$C$8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solidFill>
                      <a:schemeClr val="accent5">
                        <a:lumMod val="75000"/>
                      </a:schemeClr>
                    </a:solidFill>
                    <a:prstDash val="dash"/>
                  </a:ln>
                  <a:effectLst/>
                </c:spPr>
                <c:invertIfNegative val="0"/>
                <c:dLbls>
                  <c:dLbl>
                    <c:idx val="9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AFA8-4F45-8559-7815400653EA}"/>
                      </c:ext>
                    </c:extLst>
                  </c:dLbl>
                  <c:dLbl>
                    <c:idx val="10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AFA8-4F45-8559-7815400653EA}"/>
                      </c:ext>
                    </c:extLst>
                  </c:dLbl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AFA8-4F45-8559-7815400653EA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21'!$A$9:$A$20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21'!$C$9:$C$20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10" formatCode="0.0">
                        <c:v>4.9800000000000004</c:v>
                      </c:pt>
                      <c:pt idx="11" formatCode="0.0">
                        <c:v>5.4154114366889985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AFA8-4F45-8559-7815400653EA}"/>
                  </c:ext>
                </c:extLst>
              </c15:ser>
            </c15:filteredBarSeries>
            <c15:filteredBarSeries>
              <c15:ser>
                <c:idx val="6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21'!$D$8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solidFill>
                      <a:schemeClr val="accent3"/>
                    </a:solidFill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21'!$A$9:$A$20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21'!$D$9:$D$20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10" formatCode="0.0">
                        <c:v>4.9800000000000004</c:v>
                      </c:pt>
                      <c:pt idx="11" formatCode="0.0">
                        <c:v>6.2350000000000003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AFA8-4F45-8559-7815400653EA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21'!$E$8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21'!$A$9:$A$20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21'!$E$9:$E$20</c15:sqref>
                        </c15:formulaRef>
                      </c:ext>
                    </c:extLst>
                    <c:numCache>
                      <c:formatCode>General</c:formatCode>
                      <c:ptCount val="12"/>
                      <c:pt idx="0">
                        <c:v>7</c:v>
                      </c:pt>
                      <c:pt idx="1">
                        <c:v>7</c:v>
                      </c:pt>
                      <c:pt idx="2">
                        <c:v>7</c:v>
                      </c:pt>
                      <c:pt idx="3">
                        <c:v>7</c:v>
                      </c:pt>
                      <c:pt idx="4">
                        <c:v>7</c:v>
                      </c:pt>
                      <c:pt idx="5">
                        <c:v>7</c:v>
                      </c:pt>
                      <c:pt idx="6">
                        <c:v>7</c:v>
                      </c:pt>
                      <c:pt idx="7">
                        <c:v>7</c:v>
                      </c:pt>
                      <c:pt idx="8">
                        <c:v>7</c:v>
                      </c:pt>
                      <c:pt idx="9">
                        <c:v>7</c:v>
                      </c:pt>
                      <c:pt idx="10">
                        <c:v>7</c:v>
                      </c:pt>
                      <c:pt idx="11">
                        <c:v>7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AFA8-4F45-8559-7815400653EA}"/>
                  </c:ext>
                </c:extLst>
              </c15:ser>
            </c15:filteredBarSeries>
          </c:ext>
        </c:extLst>
      </c:barChart>
      <c:catAx>
        <c:axId val="-162349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3480288"/>
        <c:crosses val="autoZero"/>
        <c:auto val="1"/>
        <c:lblAlgn val="ctr"/>
        <c:lblOffset val="100"/>
        <c:noMultiLvlLbl val="0"/>
      </c:catAx>
      <c:valAx>
        <c:axId val="-1623480288"/>
        <c:scaling>
          <c:orientation val="minMax"/>
          <c:max val="10.1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34933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310684366030936E-3"/>
          <c:y val="0.21123786669047162"/>
          <c:w val="0.99596893156339694"/>
          <c:h val="0.635812199867147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18 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18 '!$A$7:$A$19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18 '!$B$7:$B$19</c:f>
              <c:numCache>
                <c:formatCode>0.0</c:formatCode>
                <c:ptCount val="13"/>
                <c:pt idx="0">
                  <c:v>68.31</c:v>
                </c:pt>
                <c:pt idx="1">
                  <c:v>70.400000000000006</c:v>
                </c:pt>
                <c:pt idx="2">
                  <c:v>80.010000000000005</c:v>
                </c:pt>
                <c:pt idx="3">
                  <c:v>82.44</c:v>
                </c:pt>
                <c:pt idx="4">
                  <c:v>83.09</c:v>
                </c:pt>
                <c:pt idx="5">
                  <c:v>80.56</c:v>
                </c:pt>
                <c:pt idx="6">
                  <c:v>81.540000000000006</c:v>
                </c:pt>
                <c:pt idx="7">
                  <c:v>91.6</c:v>
                </c:pt>
                <c:pt idx="8">
                  <c:v>93.34</c:v>
                </c:pt>
                <c:pt idx="9">
                  <c:v>89.6</c:v>
                </c:pt>
                <c:pt idx="10">
                  <c:v>93.27</c:v>
                </c:pt>
                <c:pt idx="11">
                  <c:v>100.45</c:v>
                </c:pt>
                <c:pt idx="12">
                  <c:v>96.69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2A8-4E6A-A52E-969AAA8E0A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2161008"/>
        <c:axId val="-1622171344"/>
        <c:extLst>
          <c:ext xmlns:c15="http://schemas.microsoft.com/office/drawing/2012/chart" uri="{02D57815-91ED-43cb-92C2-25804820EDAC}">
            <c15:filteredBarSeries>
              <c15:ser>
                <c:idx val="2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18 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solidFill>
                      <a:schemeClr val="accent5">
                        <a:lumMod val="75000"/>
                      </a:schemeClr>
                    </a:solidFill>
                    <a:prstDash val="sysDash"/>
                  </a:ln>
                  <a:effectLst/>
                </c:spPr>
                <c:invertIfNegative val="0"/>
                <c:dLbls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72A8-4E6A-A52E-969AAA8E0AD7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72A8-4E6A-A52E-969AAA8E0AD7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18 '!$A$7:$A$19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18 '!$C$7:$C$19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96.69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72A8-4E6A-A52E-969AAA8E0AD7}"/>
                  </c:ext>
                </c:extLst>
              </c15:ser>
            </c15:filteredBarSeries>
            <c15:filteredBarSeries>
              <c15:ser>
                <c:idx val="3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18 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18 '!$A$7:$A$19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18 '!$E$7:$E$19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 formatCode="General">
                        <c:v>100</c:v>
                      </c:pt>
                      <c:pt idx="1">
                        <c:v>100</c:v>
                      </c:pt>
                      <c:pt idx="2" formatCode="General">
                        <c:v>100</c:v>
                      </c:pt>
                      <c:pt idx="3">
                        <c:v>100</c:v>
                      </c:pt>
                      <c:pt idx="4">
                        <c:v>100</c:v>
                      </c:pt>
                      <c:pt idx="5" formatCode="General">
                        <c:v>100</c:v>
                      </c:pt>
                      <c:pt idx="6">
                        <c:v>100</c:v>
                      </c:pt>
                      <c:pt idx="7" formatCode="General">
                        <c:v>100</c:v>
                      </c:pt>
                      <c:pt idx="8">
                        <c:v>100</c:v>
                      </c:pt>
                      <c:pt idx="9" formatCode="General">
                        <c:v>100</c:v>
                      </c:pt>
                      <c:pt idx="10">
                        <c:v>100</c:v>
                      </c:pt>
                      <c:pt idx="11" formatCode="General">
                        <c:v>100</c:v>
                      </c:pt>
                      <c:pt idx="12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72A8-4E6A-A52E-969AAA8E0AD7}"/>
                  </c:ext>
                </c:extLst>
              </c15:ser>
            </c15:filteredBarSeries>
          </c:ext>
        </c:extLst>
      </c:barChart>
      <c:catAx>
        <c:axId val="-1622161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2171344"/>
        <c:crosses val="autoZero"/>
        <c:auto val="1"/>
        <c:lblAlgn val="ctr"/>
        <c:lblOffset val="100"/>
        <c:noMultiLvlLbl val="0"/>
      </c:catAx>
      <c:valAx>
        <c:axId val="-1622171344"/>
        <c:scaling>
          <c:orientation val="minMax"/>
          <c:max val="106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216100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305869229689511E-3"/>
          <c:y val="8.8029634244397956E-2"/>
          <c:w val="0.99636941307703109"/>
          <c:h val="0.72008662670397616"/>
        </c:manualLayout>
      </c:layout>
      <c:lineChart>
        <c:grouping val="standard"/>
        <c:varyColors val="0"/>
        <c:ser>
          <c:idx val="0"/>
          <c:order val="0"/>
          <c:tx>
            <c:strRef>
              <c:f>'Meta 19'!$B$54</c:f>
              <c:strCache>
                <c:ptCount val="1"/>
                <c:pt idx="0">
                  <c:v>Estadual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0096353881528525E-2"/>
                  <c:y val="2.1648948599664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CE-4991-81F5-AA8E95E27B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19'!$A$55:$A$67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</c:numRef>
          </c:cat>
          <c:val>
            <c:numRef>
              <c:f>'Meta 19'!$B$55:$B$67</c:f>
              <c:numCache>
                <c:formatCode>0</c:formatCode>
                <c:ptCount val="13"/>
                <c:pt idx="0">
                  <c:v>97.47</c:v>
                </c:pt>
                <c:pt idx="1">
                  <c:v>79.69</c:v>
                </c:pt>
                <c:pt idx="2">
                  <c:v>72.22</c:v>
                </c:pt>
                <c:pt idx="3">
                  <c:v>65.77</c:v>
                </c:pt>
                <c:pt idx="4">
                  <c:v>64.37</c:v>
                </c:pt>
                <c:pt idx="5">
                  <c:v>58.08</c:v>
                </c:pt>
                <c:pt idx="6">
                  <c:v>56.26</c:v>
                </c:pt>
                <c:pt idx="7">
                  <c:v>50.05</c:v>
                </c:pt>
                <c:pt idx="8">
                  <c:v>51.06</c:v>
                </c:pt>
                <c:pt idx="9">
                  <c:v>57.12</c:v>
                </c:pt>
                <c:pt idx="10">
                  <c:v>60.49</c:v>
                </c:pt>
                <c:pt idx="11">
                  <c:v>47.14</c:v>
                </c:pt>
                <c:pt idx="12">
                  <c:v>52.65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CE-4991-81F5-AA8E95E27BD5}"/>
            </c:ext>
          </c:extLst>
        </c:ser>
        <c:ser>
          <c:idx val="1"/>
          <c:order val="1"/>
          <c:tx>
            <c:strRef>
              <c:f>'Meta 19'!$C$54</c:f>
              <c:strCache>
                <c:ptCount val="1"/>
                <c:pt idx="0">
                  <c:v>Municipal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336910106208253E-2"/>
                  <c:y val="-2.4983393414602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7CE-4991-81F5-AA8E95E27B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19'!$A$55:$A$67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</c:numRef>
          </c:cat>
          <c:val>
            <c:numRef>
              <c:f>'Meta 19'!$C$55:$C$67</c:f>
              <c:numCache>
                <c:formatCode>0</c:formatCode>
                <c:ptCount val="13"/>
                <c:pt idx="0">
                  <c:v>80.540000000000006</c:v>
                </c:pt>
                <c:pt idx="1">
                  <c:v>81.89</c:v>
                </c:pt>
                <c:pt idx="2">
                  <c:v>80.62</c:v>
                </c:pt>
                <c:pt idx="3">
                  <c:v>80.98</c:v>
                </c:pt>
                <c:pt idx="4">
                  <c:v>82.84</c:v>
                </c:pt>
                <c:pt idx="5">
                  <c:v>84.97</c:v>
                </c:pt>
                <c:pt idx="6">
                  <c:v>85.59</c:v>
                </c:pt>
                <c:pt idx="7">
                  <c:v>83.81</c:v>
                </c:pt>
                <c:pt idx="8">
                  <c:v>82.17</c:v>
                </c:pt>
                <c:pt idx="9">
                  <c:v>80.06</c:v>
                </c:pt>
                <c:pt idx="10">
                  <c:v>84.69</c:v>
                </c:pt>
                <c:pt idx="11">
                  <c:v>75.27</c:v>
                </c:pt>
                <c:pt idx="12">
                  <c:v>72.83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7CE-4991-81F5-AA8E95E27B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9757712"/>
        <c:axId val="509758672"/>
      </c:lineChart>
      <c:catAx>
        <c:axId val="50975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09758672"/>
        <c:crosses val="autoZero"/>
        <c:auto val="1"/>
        <c:lblAlgn val="ctr"/>
        <c:lblOffset val="100"/>
        <c:noMultiLvlLbl val="0"/>
      </c:catAx>
      <c:valAx>
        <c:axId val="509758672"/>
        <c:scaling>
          <c:orientation val="minMax"/>
          <c:max val="100"/>
        </c:scaling>
        <c:delete val="1"/>
        <c:axPos val="l"/>
        <c:numFmt formatCode="0" sourceLinked="1"/>
        <c:majorTickMark val="none"/>
        <c:minorTickMark val="none"/>
        <c:tickLblPos val="nextTo"/>
        <c:crossAx val="50975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779571528703992"/>
          <c:y val="0.91066131452631227"/>
          <c:w val="0.37220428471296008"/>
          <c:h val="5.6269150084148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291426047530134E-3"/>
          <c:y val="8.6299882351288992E-2"/>
          <c:w val="0.97699733451115256"/>
          <c:h val="0.72938259569207298"/>
        </c:manualLayout>
      </c:layout>
      <c:lineChart>
        <c:grouping val="standard"/>
        <c:varyColors val="0"/>
        <c:ser>
          <c:idx val="0"/>
          <c:order val="0"/>
          <c:tx>
            <c:strRef>
              <c:f>'Meta 16'!$C$55</c:f>
              <c:strCache>
                <c:ptCount val="1"/>
                <c:pt idx="0">
                  <c:v>Ed. Infantil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186702744491689E-2"/>
                  <c:y val="-5.050828037358274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D2-4DDF-89BE-5327C8F4BE2F}"/>
                </c:ext>
              </c:extLst>
            </c:dLbl>
            <c:dLbl>
              <c:idx val="1"/>
              <c:layout>
                <c:manualLayout>
                  <c:x val="-2.1859296482412079E-2"/>
                  <c:y val="1.86378352452136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D2-4DDF-89BE-5327C8F4BE2F}"/>
                </c:ext>
              </c:extLst>
            </c:dLbl>
            <c:dLbl>
              <c:idx val="2"/>
              <c:layout>
                <c:manualLayout>
                  <c:x val="-2.3792037108620025E-2"/>
                  <c:y val="1.86378352452136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D2-4DDF-89BE-5327C8F4BE2F}"/>
                </c:ext>
              </c:extLst>
            </c:dLbl>
            <c:dLbl>
              <c:idx val="3"/>
              <c:layout>
                <c:manualLayout>
                  <c:x val="-2.5724777734828022E-2"/>
                  <c:y val="2.5406024754519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9D2-4DDF-89BE-5327C8F4BE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16'!$B$56:$B$66</c:f>
              <c:numCache>
                <c:formatCode>0</c:formatCode>
                <c:ptCount val="11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 formatCode="General">
                  <c:v>2018</c:v>
                </c:pt>
                <c:pt idx="6" formatCode="General">
                  <c:v>2019</c:v>
                </c:pt>
                <c:pt idx="7" formatCode="General">
                  <c:v>2020</c:v>
                </c:pt>
                <c:pt idx="8" formatCode="General">
                  <c:v>2021</c:v>
                </c:pt>
                <c:pt idx="9" formatCode="General">
                  <c:v>2022</c:v>
                </c:pt>
                <c:pt idx="10" formatCode="General">
                  <c:v>2023</c:v>
                </c:pt>
              </c:numCache>
            </c:numRef>
          </c:cat>
          <c:val>
            <c:numRef>
              <c:f>'Meta 16'!$C$56:$C$66</c:f>
              <c:numCache>
                <c:formatCode>0</c:formatCode>
                <c:ptCount val="11"/>
                <c:pt idx="0">
                  <c:v>50.4</c:v>
                </c:pt>
                <c:pt idx="1">
                  <c:v>53</c:v>
                </c:pt>
                <c:pt idx="2">
                  <c:v>53.1</c:v>
                </c:pt>
                <c:pt idx="3">
                  <c:v>54.800000000000004</c:v>
                </c:pt>
                <c:pt idx="4">
                  <c:v>57.3</c:v>
                </c:pt>
                <c:pt idx="5">
                  <c:v>57.7</c:v>
                </c:pt>
                <c:pt idx="6">
                  <c:v>60.7</c:v>
                </c:pt>
                <c:pt idx="7">
                  <c:v>63.8</c:v>
                </c:pt>
                <c:pt idx="8">
                  <c:v>65.5</c:v>
                </c:pt>
                <c:pt idx="9">
                  <c:v>71.400000000000006</c:v>
                </c:pt>
                <c:pt idx="10">
                  <c:v>74.2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35-4058-B856-38423DADE3AA}"/>
            </c:ext>
          </c:extLst>
        </c:ser>
        <c:ser>
          <c:idx val="1"/>
          <c:order val="1"/>
          <c:tx>
            <c:strRef>
              <c:f>'Meta 16'!$D$55</c:f>
              <c:strCache>
                <c:ptCount val="1"/>
                <c:pt idx="0">
                  <c:v>Ens. Fundamental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9590258987243913E-2"/>
                  <c:y val="-3.2174214263826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D2-4DDF-89BE-5327C8F4BE2F}"/>
                </c:ext>
              </c:extLst>
            </c:dLbl>
            <c:dLbl>
              <c:idx val="1"/>
              <c:layout>
                <c:manualLayout>
                  <c:x val="-2.5724777734827987E-2"/>
                  <c:y val="-2.8790119509173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D2-4DDF-89BE-5327C8F4BE2F}"/>
                </c:ext>
              </c:extLst>
            </c:dLbl>
            <c:dLbl>
              <c:idx val="2"/>
              <c:layout>
                <c:manualLayout>
                  <c:x val="-2.765751836103595E-2"/>
                  <c:y val="-3.55583090184793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9D2-4DDF-89BE-5327C8F4BE2F}"/>
                </c:ext>
              </c:extLst>
            </c:dLbl>
            <c:dLbl>
              <c:idx val="3"/>
              <c:layout>
                <c:manualLayout>
                  <c:x val="-2.5724777734828022E-2"/>
                  <c:y val="-3.55583090184793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9D2-4DDF-89BE-5327C8F4BE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16'!$B$56:$B$66</c:f>
              <c:numCache>
                <c:formatCode>0</c:formatCode>
                <c:ptCount val="11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 formatCode="General">
                  <c:v>2018</c:v>
                </c:pt>
                <c:pt idx="6" formatCode="General">
                  <c:v>2019</c:v>
                </c:pt>
                <c:pt idx="7" formatCode="General">
                  <c:v>2020</c:v>
                </c:pt>
                <c:pt idx="8" formatCode="General">
                  <c:v>2021</c:v>
                </c:pt>
                <c:pt idx="9" formatCode="General">
                  <c:v>2022</c:v>
                </c:pt>
                <c:pt idx="10" formatCode="General">
                  <c:v>2023</c:v>
                </c:pt>
              </c:numCache>
            </c:numRef>
          </c:cat>
          <c:val>
            <c:numRef>
              <c:f>'Meta 16'!$D$56:$D$66</c:f>
              <c:numCache>
                <c:formatCode>0</c:formatCode>
                <c:ptCount val="11"/>
                <c:pt idx="0">
                  <c:v>54.4</c:v>
                </c:pt>
                <c:pt idx="1">
                  <c:v>55.1</c:v>
                </c:pt>
                <c:pt idx="2">
                  <c:v>54.6</c:v>
                </c:pt>
                <c:pt idx="3">
                  <c:v>56.4</c:v>
                </c:pt>
                <c:pt idx="4">
                  <c:v>56.5</c:v>
                </c:pt>
                <c:pt idx="5">
                  <c:v>57</c:v>
                </c:pt>
                <c:pt idx="6">
                  <c:v>58.9</c:v>
                </c:pt>
                <c:pt idx="7">
                  <c:v>63.4</c:v>
                </c:pt>
                <c:pt idx="8">
                  <c:v>65.8</c:v>
                </c:pt>
                <c:pt idx="9">
                  <c:v>70.400000000000006</c:v>
                </c:pt>
                <c:pt idx="10">
                  <c:v>72.5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35-4058-B856-38423DADE3AA}"/>
            </c:ext>
          </c:extLst>
        </c:ser>
        <c:ser>
          <c:idx val="2"/>
          <c:order val="2"/>
          <c:tx>
            <c:strRef>
              <c:f>'Meta 16'!$E$55</c:f>
              <c:strCache>
                <c:ptCount val="1"/>
                <c:pt idx="0">
                  <c:v>Ens. Médio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16'!$B$56:$B$66</c:f>
              <c:numCache>
                <c:formatCode>0</c:formatCode>
                <c:ptCount val="11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 formatCode="General">
                  <c:v>2018</c:v>
                </c:pt>
                <c:pt idx="6" formatCode="General">
                  <c:v>2019</c:v>
                </c:pt>
                <c:pt idx="7" formatCode="General">
                  <c:v>2020</c:v>
                </c:pt>
                <c:pt idx="8" formatCode="General">
                  <c:v>2021</c:v>
                </c:pt>
                <c:pt idx="9" formatCode="General">
                  <c:v>2022</c:v>
                </c:pt>
                <c:pt idx="10" formatCode="General">
                  <c:v>2023</c:v>
                </c:pt>
              </c:numCache>
            </c:numRef>
          </c:cat>
          <c:val>
            <c:numRef>
              <c:f>'Meta 16'!$E$56:$E$66</c:f>
              <c:numCache>
                <c:formatCode>0</c:formatCode>
                <c:ptCount val="11"/>
                <c:pt idx="0">
                  <c:v>48.4</c:v>
                </c:pt>
                <c:pt idx="1">
                  <c:v>48.5</c:v>
                </c:pt>
                <c:pt idx="2">
                  <c:v>47.3</c:v>
                </c:pt>
                <c:pt idx="3">
                  <c:v>47.800000000000004</c:v>
                </c:pt>
                <c:pt idx="4">
                  <c:v>47.4</c:v>
                </c:pt>
                <c:pt idx="5">
                  <c:v>46.1</c:v>
                </c:pt>
                <c:pt idx="6">
                  <c:v>48.9</c:v>
                </c:pt>
                <c:pt idx="7">
                  <c:v>52</c:v>
                </c:pt>
                <c:pt idx="8">
                  <c:v>53.5</c:v>
                </c:pt>
                <c:pt idx="9">
                  <c:v>55.6</c:v>
                </c:pt>
                <c:pt idx="10">
                  <c:v>62.8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F35-4058-B856-38423DADE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5898784"/>
        <c:axId val="265884864"/>
      </c:lineChart>
      <c:catAx>
        <c:axId val="265898784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65884864"/>
        <c:crosses val="autoZero"/>
        <c:auto val="1"/>
        <c:lblAlgn val="ctr"/>
        <c:lblOffset val="100"/>
        <c:noMultiLvlLbl val="0"/>
      </c:catAx>
      <c:valAx>
        <c:axId val="265884864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265898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1136421051350023"/>
          <c:y val="0.69070919434563061"/>
          <c:w val="0.48863574249649322"/>
          <c:h val="5.6269150084148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097224425358783E-3"/>
          <c:y val="0.13811821316453091"/>
          <c:w val="0.97763214090825346"/>
          <c:h val="0.5791973431365282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17'!$B$6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9"/>
              <c:layout>
                <c:manualLayout>
                  <c:x val="-2.2514605522955065E-2"/>
                  <c:y val="3.05001902356669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64-4E6E-AF18-E2AAD786A4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17'!$A$10:$A$22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17'!$B$10:$B$22</c:f>
              <c:numCache>
                <c:formatCode>0.0</c:formatCode>
                <c:ptCount val="13"/>
                <c:pt idx="0">
                  <c:v>23.5</c:v>
                </c:pt>
                <c:pt idx="1">
                  <c:v>26.5</c:v>
                </c:pt>
                <c:pt idx="2">
                  <c:v>27.6</c:v>
                </c:pt>
                <c:pt idx="3">
                  <c:v>31.1</c:v>
                </c:pt>
                <c:pt idx="4">
                  <c:v>32.6</c:v>
                </c:pt>
                <c:pt idx="5">
                  <c:v>33.840000000000003</c:v>
                </c:pt>
                <c:pt idx="6">
                  <c:v>35.03</c:v>
                </c:pt>
                <c:pt idx="7">
                  <c:v>35.909999999999997</c:v>
                </c:pt>
                <c:pt idx="8">
                  <c:v>44.7</c:v>
                </c:pt>
                <c:pt idx="9">
                  <c:v>48.1</c:v>
                </c:pt>
                <c:pt idx="10">
                  <c:v>54</c:v>
                </c:pt>
                <c:pt idx="11">
                  <c:v>57.1</c:v>
                </c:pt>
                <c:pt idx="12">
                  <c:v>59.2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A264-4E6E-AF18-E2AAD786A4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2158288"/>
        <c:axId val="-1622165904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17'!$C$6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dLbls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A264-4E6E-AF18-E2AAD786A454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A264-4E6E-AF18-E2AAD786A454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17'!$A$10:$A$22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17'!$C$10:$C$22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59.2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A264-4E6E-AF18-E2AAD786A454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17'!$E$6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17'!$A$10:$A$22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17'!$E$10:$E$22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50</c:v>
                      </c:pt>
                      <c:pt idx="1">
                        <c:v>50</c:v>
                      </c:pt>
                      <c:pt idx="2">
                        <c:v>50</c:v>
                      </c:pt>
                      <c:pt idx="3">
                        <c:v>50</c:v>
                      </c:pt>
                      <c:pt idx="4">
                        <c:v>50</c:v>
                      </c:pt>
                      <c:pt idx="5">
                        <c:v>50</c:v>
                      </c:pt>
                      <c:pt idx="6">
                        <c:v>50</c:v>
                      </c:pt>
                      <c:pt idx="7">
                        <c:v>50</c:v>
                      </c:pt>
                      <c:pt idx="8">
                        <c:v>50</c:v>
                      </c:pt>
                      <c:pt idx="9">
                        <c:v>50</c:v>
                      </c:pt>
                      <c:pt idx="10">
                        <c:v>50</c:v>
                      </c:pt>
                      <c:pt idx="11">
                        <c:v>50</c:v>
                      </c:pt>
                      <c:pt idx="12">
                        <c:v>50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A264-4E6E-AF18-E2AAD786A454}"/>
                  </c:ext>
                </c:extLst>
              </c15:ser>
            </c15:filteredBarSeries>
          </c:ext>
        </c:extLst>
      </c:barChart>
      <c:catAx>
        <c:axId val="-1622158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2165904"/>
        <c:crosses val="autoZero"/>
        <c:auto val="1"/>
        <c:lblAlgn val="ctr"/>
        <c:lblOffset val="100"/>
        <c:noMultiLvlLbl val="0"/>
      </c:catAx>
      <c:valAx>
        <c:axId val="-1622165904"/>
        <c:scaling>
          <c:orientation val="minMax"/>
          <c:max val="62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2158288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6211237484203367E-2"/>
          <c:y val="0.11885721247563352"/>
          <c:w val="0.95545542918246329"/>
          <c:h val="0.595079243079170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rgbClr val="156082"/>
            </a:solidFill>
            <a:ln>
              <a:noFill/>
            </a:ln>
            <a:effectLst/>
          </c:spPr>
          <c:invertIfNegative val="0"/>
          <c:dLbls>
            <c:dLbl>
              <c:idx val="9"/>
              <c:layout>
                <c:manualLayout>
                  <c:x val="2.9563193168337652E-3"/>
                  <c:y val="-2.5245675335243769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32-42D4-98A1-85D7D86FAD6A}"/>
                </c:ext>
              </c:extLst>
            </c:dLbl>
            <c:dLbl>
              <c:idx val="10"/>
              <c:layout>
                <c:manualLayout>
                  <c:x val="-2.6352021531375674E-3"/>
                  <c:y val="2.84123717481846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32-42D4-98A1-85D7D86FAD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('Meta 1'!$A$13:$A$21,'Meta 1'!$A$24:$A$25)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2022</c:v>
                </c:pt>
                <c:pt idx="10">
                  <c:v>2023</c:v>
                </c:pt>
              </c:numCache>
              <c:extLst/>
            </c:numRef>
          </c:cat>
          <c:val>
            <c:numRef>
              <c:f>('Meta 1'!$B$13:$B$21,'Meta 1'!$B$24:$B$25)</c:f>
              <c:numCache>
                <c:formatCode>_-* #,##0.0_-;\-* #,##0.0_-;_-* "-"??_-;_-@_-</c:formatCode>
                <c:ptCount val="11"/>
                <c:pt idx="0">
                  <c:v>71.5</c:v>
                </c:pt>
                <c:pt idx="1">
                  <c:v>79.5</c:v>
                </c:pt>
                <c:pt idx="2">
                  <c:v>82.7</c:v>
                </c:pt>
                <c:pt idx="3">
                  <c:v>81.2</c:v>
                </c:pt>
                <c:pt idx="4">
                  <c:v>84.58</c:v>
                </c:pt>
                <c:pt idx="5">
                  <c:v>89.16</c:v>
                </c:pt>
                <c:pt idx="6">
                  <c:v>88.11</c:v>
                </c:pt>
                <c:pt idx="7">
                  <c:v>87.51</c:v>
                </c:pt>
                <c:pt idx="8">
                  <c:v>86.62</c:v>
                </c:pt>
                <c:pt idx="9">
                  <c:v>87.74</c:v>
                </c:pt>
                <c:pt idx="10">
                  <c:v>91.99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6532-42D4-98A1-85D7D86FAD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8616576"/>
        <c:axId val="-1628618208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solidFill>
                      <a:srgbClr val="5B9BD5">
                        <a:lumMod val="50000"/>
                      </a:srgbClr>
                    </a:solidFill>
                    <a:prstDash val="dash"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('Meta 1'!$A$13:$A$21,'Meta 1'!$A$24:$A$25)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2022</c:v>
                      </c:pt>
                      <c:pt idx="10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('Meta 1'!$C$13:$C$21,'Meta 1'!$C$24:$C$27)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0" formatCode="0.0">
                        <c:v>91.99</c:v>
                      </c:pt>
                      <c:pt idx="11" formatCode="0.0">
                        <c:v>96.570067796609692</c:v>
                      </c:pt>
                      <c:pt idx="12" formatCode="0.0">
                        <c:v>104.54792061611442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6532-42D4-98A1-85D7D86FAD6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1'!$D$6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solidFill>
                      <a:srgbClr val="A5A5A5"/>
                    </a:solidFill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('Meta 1'!$A$13:$A$21,'Meta 1'!$A$24:$A$25)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2022</c:v>
                      </c:pt>
                      <c:pt idx="10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('Meta 1'!$D$13:$D$21,'Meta 1'!$D$24:$D$27)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0" formatCode="0.00">
                        <c:v>91.99</c:v>
                      </c:pt>
                      <c:pt idx="11" formatCode="0.00">
                        <c:v>95.995000000000005</c:v>
                      </c:pt>
                      <c:pt idx="12" formatCode="0.00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6532-42D4-98A1-85D7D86FAD6A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rgbClr val="70AD47">
                        <a:lumMod val="75000"/>
                      </a:srgb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('Meta 1'!$A$13:$A$21,'Meta 1'!$A$24:$A$25)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2022</c:v>
                      </c:pt>
                      <c:pt idx="10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('Meta 1'!$E$12:$E$20,'Meta 1'!$E$23:$E$26)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100</c:v>
                      </c:pt>
                      <c:pt idx="1">
                        <c:v>100</c:v>
                      </c:pt>
                      <c:pt idx="2">
                        <c:v>100</c:v>
                      </c:pt>
                      <c:pt idx="3">
                        <c:v>100</c:v>
                      </c:pt>
                      <c:pt idx="4">
                        <c:v>100</c:v>
                      </c:pt>
                      <c:pt idx="5">
                        <c:v>100</c:v>
                      </c:pt>
                      <c:pt idx="6">
                        <c:v>100</c:v>
                      </c:pt>
                      <c:pt idx="7" formatCode="General">
                        <c:v>100</c:v>
                      </c:pt>
                      <c:pt idx="8" formatCode="General">
                        <c:v>100</c:v>
                      </c:pt>
                      <c:pt idx="9" formatCode="General">
                        <c:v>100</c:v>
                      </c:pt>
                      <c:pt idx="10" formatCode="General">
                        <c:v>100</c:v>
                      </c:pt>
                      <c:pt idx="11" formatCode="General">
                        <c:v>100</c:v>
                      </c:pt>
                      <c:pt idx="12" formatCode="General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6532-42D4-98A1-85D7D86FAD6A}"/>
                  </c:ext>
                </c:extLst>
              </c15:ser>
            </c15:filteredBarSeries>
          </c:ext>
        </c:extLst>
      </c:barChart>
      <c:catAx>
        <c:axId val="-1628616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8618208"/>
        <c:crosses val="autoZero"/>
        <c:auto val="1"/>
        <c:lblAlgn val="ctr"/>
        <c:lblOffset val="100"/>
        <c:noMultiLvlLbl val="0"/>
      </c:catAx>
      <c:valAx>
        <c:axId val="-1628618208"/>
        <c:scaling>
          <c:orientation val="minMax"/>
          <c:max val="100"/>
          <c:min val="0"/>
        </c:scaling>
        <c:delete val="1"/>
        <c:axPos val="l"/>
        <c:numFmt formatCode="_(* #,##0_);_(* \(#,##0\);_(* &quot;-&quot;_);_(@_)" sourceLinked="0"/>
        <c:majorTickMark val="out"/>
        <c:minorTickMark val="none"/>
        <c:tickLblPos val="nextTo"/>
        <c:crossAx val="-1628616576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 sz="1000" b="0" i="0" u="none" strike="noStrike" kern="1200" baseline="0">
          <a:solidFill>
            <a:schemeClr val="tx1"/>
          </a:solidFill>
          <a:latin typeface="+mn-lt"/>
          <a:ea typeface="+mn-ea"/>
          <a:cs typeface="+mn-cs"/>
        </a:defRPr>
      </a:pPr>
      <a:endParaRPr lang="pt-BR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7521034169794194E-2"/>
          <c:y val="0.1235387155708025"/>
          <c:w val="0.96830099508589462"/>
          <c:h val="0.571830390322663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1'!$B$33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('Meta 1'!$A$40:$A$48,'Meta 1'!$A$51:$A$52)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2022</c:v>
                </c:pt>
                <c:pt idx="10">
                  <c:v>2023</c:v>
                </c:pt>
              </c:numCache>
              <c:extLst/>
            </c:numRef>
          </c:cat>
          <c:val>
            <c:numRef>
              <c:f>('Meta 1'!$B$40:$B$48,'Meta 1'!$B$51:$B$52)</c:f>
              <c:numCache>
                <c:formatCode>_-* #,##0.0_-;\-* #,##0.0_-;_-* "-"??_-;_-@_-</c:formatCode>
                <c:ptCount val="11"/>
                <c:pt idx="0">
                  <c:v>15.6</c:v>
                </c:pt>
                <c:pt idx="1">
                  <c:v>21.5</c:v>
                </c:pt>
                <c:pt idx="2">
                  <c:v>19.8</c:v>
                </c:pt>
                <c:pt idx="3">
                  <c:v>20.100000000000001</c:v>
                </c:pt>
                <c:pt idx="4">
                  <c:v>22.04</c:v>
                </c:pt>
                <c:pt idx="5">
                  <c:v>21.93</c:v>
                </c:pt>
                <c:pt idx="6">
                  <c:v>25.16</c:v>
                </c:pt>
                <c:pt idx="7">
                  <c:v>26.36</c:v>
                </c:pt>
                <c:pt idx="8">
                  <c:v>26.34</c:v>
                </c:pt>
                <c:pt idx="9">
                  <c:v>26.16</c:v>
                </c:pt>
                <c:pt idx="10">
                  <c:v>27.85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B7C-4D70-ADAD-D3E646D867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8622560"/>
        <c:axId val="-1628626912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1'!$C$33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solidFill>
                      <a:schemeClr val="accent1">
                        <a:lumMod val="50000"/>
                      </a:schemeClr>
                    </a:solidFill>
                    <a:prstDash val="dash"/>
                  </a:ln>
                  <a:effectLst/>
                </c:spPr>
                <c:invertIfNegative val="0"/>
                <c:dLbls>
                  <c:dLbl>
                    <c:idx val="8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4B7C-4D70-ADAD-D3E646D8674E}"/>
                      </c:ext>
                    </c:extLst>
                  </c:dLbl>
                  <c:dLbl>
                    <c:idx val="9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4B7C-4D70-ADAD-D3E646D8674E}"/>
                      </c:ext>
                    </c:extLst>
                  </c:dLbl>
                  <c:dLbl>
                    <c:idx val="10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4B7C-4D70-ADAD-D3E646D8674E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('Meta 1'!$A$40:$A$48,'Meta 1'!$A$51:$A$52)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2022</c:v>
                      </c:pt>
                      <c:pt idx="10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('Meta 1'!$C$40:$C$48,'Meta 1'!$C$51:$C$52)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10" formatCode="0.0">
                        <c:v>27.85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4B7C-4D70-ADAD-D3E646D8674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1'!$D$33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('Meta 1'!$A$40:$A$48,'Meta 1'!$A$51:$A$52)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2022</c:v>
                      </c:pt>
                      <c:pt idx="10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('Meta 1'!$D$40:$D$48,'Meta 1'!$D$51:$D$52)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10" formatCode="0.0">
                        <c:v>27.85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4B7C-4D70-ADAD-D3E646D8674E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1'!$E$33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('Meta 1'!$A$40:$A$48,'Meta 1'!$A$51:$A$52)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2022</c:v>
                      </c:pt>
                      <c:pt idx="10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('Meta 1'!$E$40:$E$48,'Meta 1'!$E$51:$E$52)</c15:sqref>
                        </c15:formulaRef>
                      </c:ext>
                    </c:extLst>
                    <c:numCache>
                      <c:formatCode>0</c:formatCode>
                      <c:ptCount val="11"/>
                      <c:pt idx="0">
                        <c:v>50</c:v>
                      </c:pt>
                      <c:pt idx="1">
                        <c:v>50</c:v>
                      </c:pt>
                      <c:pt idx="2">
                        <c:v>50</c:v>
                      </c:pt>
                      <c:pt idx="3">
                        <c:v>50</c:v>
                      </c:pt>
                      <c:pt idx="4">
                        <c:v>50</c:v>
                      </c:pt>
                      <c:pt idx="5">
                        <c:v>50</c:v>
                      </c:pt>
                      <c:pt idx="6">
                        <c:v>50</c:v>
                      </c:pt>
                      <c:pt idx="7">
                        <c:v>50</c:v>
                      </c:pt>
                      <c:pt idx="8">
                        <c:v>50</c:v>
                      </c:pt>
                      <c:pt idx="9">
                        <c:v>50</c:v>
                      </c:pt>
                      <c:pt idx="10">
                        <c:v>50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4B7C-4D70-ADAD-D3E646D8674E}"/>
                  </c:ext>
                </c:extLst>
              </c15:ser>
            </c15:filteredBarSeries>
          </c:ext>
        </c:extLst>
      </c:barChart>
      <c:catAx>
        <c:axId val="-162862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8626912"/>
        <c:crosses val="autoZero"/>
        <c:auto val="1"/>
        <c:lblAlgn val="ctr"/>
        <c:lblOffset val="100"/>
        <c:noMultiLvlLbl val="0"/>
      </c:catAx>
      <c:valAx>
        <c:axId val="-1628626912"/>
        <c:scaling>
          <c:orientation val="minMax"/>
          <c:max val="50.2"/>
          <c:min val="0"/>
        </c:scaling>
        <c:delete val="1"/>
        <c:axPos val="l"/>
        <c:numFmt formatCode="_(* #,##0_);_(* \(#,##0\);_(* &quot;-&quot;_);_(@_)" sourceLinked="0"/>
        <c:majorTickMark val="out"/>
        <c:minorTickMark val="none"/>
        <c:tickLblPos val="nextTo"/>
        <c:crossAx val="-162862256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1709967320261439E-2"/>
          <c:y val="0.19835859820700899"/>
          <c:w val="0.95995669934640526"/>
          <c:h val="0.587567738791422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2 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2 '!$A$13:$A$25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2 '!$B$13:$B$25</c:f>
              <c:numCache>
                <c:formatCode>_-* #,##0.0_-;\-* #,##0.0_-;_-* "-"??_-;_-@_-</c:formatCode>
                <c:ptCount val="13"/>
                <c:pt idx="0">
                  <c:v>97.6</c:v>
                </c:pt>
                <c:pt idx="1">
                  <c:v>97.7</c:v>
                </c:pt>
                <c:pt idx="2">
                  <c:v>97.3</c:v>
                </c:pt>
                <c:pt idx="3">
                  <c:v>98.6</c:v>
                </c:pt>
                <c:pt idx="4">
                  <c:v>98.2</c:v>
                </c:pt>
                <c:pt idx="5">
                  <c:v>96.46</c:v>
                </c:pt>
                <c:pt idx="6">
                  <c:v>97.35</c:v>
                </c:pt>
                <c:pt idx="7">
                  <c:v>97.72</c:v>
                </c:pt>
                <c:pt idx="8">
                  <c:v>98.46</c:v>
                </c:pt>
                <c:pt idx="9" formatCode="0.0">
                  <c:v>97.53</c:v>
                </c:pt>
                <c:pt idx="10" formatCode="0.0">
                  <c:v>95.37</c:v>
                </c:pt>
                <c:pt idx="11" formatCode="0.0">
                  <c:v>95.58</c:v>
                </c:pt>
                <c:pt idx="12" formatCode="General">
                  <c:v>95.8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482-4D59-AB03-D800B0C8CE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8625824"/>
        <c:axId val="-1628622016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2 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solidFill>
                      <a:schemeClr val="accent1">
                        <a:lumMod val="50000"/>
                      </a:schemeClr>
                    </a:solidFill>
                    <a:prstDash val="dash"/>
                  </a:ln>
                  <a:effectLst/>
                </c:spPr>
                <c:invertIfNegative val="0"/>
                <c:dLbls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0482-4D59-AB03-D800B0C8CEC6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0482-4D59-AB03-D800B0C8CEC6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2 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2 '!$C$13:$C$25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95.8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0482-4D59-AB03-D800B0C8CEC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'!$D$6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'!$D$13:$D$25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0">
                        <c:v>95.8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0482-4D59-AB03-D800B0C8CEC6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'!$A$13:$A$25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'!$E$13:$E$25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100</c:v>
                      </c:pt>
                      <c:pt idx="1">
                        <c:v>100</c:v>
                      </c:pt>
                      <c:pt idx="2">
                        <c:v>100</c:v>
                      </c:pt>
                      <c:pt idx="3">
                        <c:v>100</c:v>
                      </c:pt>
                      <c:pt idx="4">
                        <c:v>100</c:v>
                      </c:pt>
                      <c:pt idx="5">
                        <c:v>100</c:v>
                      </c:pt>
                      <c:pt idx="6">
                        <c:v>100</c:v>
                      </c:pt>
                      <c:pt idx="7">
                        <c:v>100</c:v>
                      </c:pt>
                      <c:pt idx="8">
                        <c:v>100</c:v>
                      </c:pt>
                      <c:pt idx="9">
                        <c:v>100</c:v>
                      </c:pt>
                      <c:pt idx="10">
                        <c:v>100</c:v>
                      </c:pt>
                      <c:pt idx="11">
                        <c:v>100</c:v>
                      </c:pt>
                      <c:pt idx="12">
                        <c:v>100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0482-4D59-AB03-D800B0C8CEC6}"/>
                  </c:ext>
                </c:extLst>
              </c15:ser>
            </c15:filteredBarSeries>
          </c:ext>
        </c:extLst>
      </c:barChart>
      <c:catAx>
        <c:axId val="-1628625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8622016"/>
        <c:crosses val="autoZero"/>
        <c:auto val="1"/>
        <c:lblAlgn val="ctr"/>
        <c:lblOffset val="100"/>
        <c:noMultiLvlLbl val="0"/>
      </c:catAx>
      <c:valAx>
        <c:axId val="-1628622016"/>
        <c:scaling>
          <c:orientation val="minMax"/>
          <c:max val="100"/>
          <c:min val="0"/>
        </c:scaling>
        <c:delete val="1"/>
        <c:axPos val="l"/>
        <c:numFmt formatCode="_(* #,##0_);_(* \(#,##0\);_(* &quot;-&quot;_);_(@_)" sourceLinked="0"/>
        <c:majorTickMark val="out"/>
        <c:minorTickMark val="none"/>
        <c:tickLblPos val="nextTo"/>
        <c:crossAx val="-162862582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167859477124183E-2"/>
          <c:y val="0.1929263010827803"/>
          <c:w val="0.96410702614379085"/>
          <c:h val="0.610551900584795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2 '!$B$32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2 '!$A$39:$A$51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2 '!$B$39:$B$51</c:f>
              <c:numCache>
                <c:formatCode>_-* #,##0.0_-;\-* #,##0.0_-;_-* "-"??_-;_-@_-</c:formatCode>
                <c:ptCount val="13"/>
                <c:pt idx="0">
                  <c:v>75.7</c:v>
                </c:pt>
                <c:pt idx="1">
                  <c:v>78</c:v>
                </c:pt>
                <c:pt idx="2">
                  <c:v>74.5</c:v>
                </c:pt>
                <c:pt idx="3">
                  <c:v>74.8</c:v>
                </c:pt>
                <c:pt idx="4">
                  <c:v>82.57</c:v>
                </c:pt>
                <c:pt idx="5">
                  <c:v>78.09</c:v>
                </c:pt>
                <c:pt idx="6">
                  <c:v>76.34</c:v>
                </c:pt>
                <c:pt idx="7">
                  <c:v>78.430000000000007</c:v>
                </c:pt>
                <c:pt idx="8">
                  <c:v>85.4</c:v>
                </c:pt>
                <c:pt idx="9" formatCode="0.0">
                  <c:v>88.86</c:v>
                </c:pt>
                <c:pt idx="10" formatCode="0.0">
                  <c:v>85.32</c:v>
                </c:pt>
                <c:pt idx="11" formatCode="0.0">
                  <c:v>86.96</c:v>
                </c:pt>
                <c:pt idx="12" formatCode="0.0">
                  <c:v>92.35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5B1A-4D19-B681-27517C1F64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8625280"/>
        <c:axId val="-1628619296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2 '!$C$32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solidFill>
                      <a:schemeClr val="accent1">
                        <a:lumMod val="50000"/>
                      </a:schemeClr>
                    </a:solidFill>
                    <a:prstDash val="dash"/>
                  </a:ln>
                  <a:effectLst/>
                </c:spPr>
                <c:invertIfNegative val="0"/>
                <c:dLbls>
                  <c:dLbl>
                    <c:idx val="8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5B1A-4D19-B681-27517C1F6446}"/>
                      </c:ext>
                    </c:extLst>
                  </c:dLbl>
                  <c:dLbl>
                    <c:idx val="9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5B1A-4D19-B681-27517C1F6446}"/>
                      </c:ext>
                    </c:extLst>
                  </c:dLbl>
                  <c:dLbl>
                    <c:idx val="10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5B1A-4D19-B681-27517C1F6446}"/>
                      </c:ext>
                    </c:extLst>
                  </c:dLbl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4-5B1A-4D19-B681-27517C1F6446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5-5B1A-4D19-B681-27517C1F6446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2 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2 '!$C$39:$C$51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">
                        <c:v>92.35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5B1A-4D19-B681-27517C1F644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'!$D$32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'!$D$39:$D$51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0">
                        <c:v>92.35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5B1A-4D19-B681-27517C1F6446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'!$E$32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'!$A$39:$A$51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2 '!$E$39:$E$51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95</c:v>
                      </c:pt>
                      <c:pt idx="1">
                        <c:v>95</c:v>
                      </c:pt>
                      <c:pt idx="2">
                        <c:v>95</c:v>
                      </c:pt>
                      <c:pt idx="3">
                        <c:v>95</c:v>
                      </c:pt>
                      <c:pt idx="4">
                        <c:v>95</c:v>
                      </c:pt>
                      <c:pt idx="5">
                        <c:v>95</c:v>
                      </c:pt>
                      <c:pt idx="6">
                        <c:v>95</c:v>
                      </c:pt>
                      <c:pt idx="7">
                        <c:v>95</c:v>
                      </c:pt>
                      <c:pt idx="8">
                        <c:v>95</c:v>
                      </c:pt>
                      <c:pt idx="9">
                        <c:v>95</c:v>
                      </c:pt>
                      <c:pt idx="10">
                        <c:v>95</c:v>
                      </c:pt>
                      <c:pt idx="11">
                        <c:v>95</c:v>
                      </c:pt>
                      <c:pt idx="12">
                        <c:v>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5B1A-4D19-B681-27517C1F6446}"/>
                  </c:ext>
                </c:extLst>
              </c15:ser>
            </c15:filteredBarSeries>
          </c:ext>
        </c:extLst>
      </c:barChart>
      <c:catAx>
        <c:axId val="-162862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8619296"/>
        <c:crosses val="autoZero"/>
        <c:auto val="1"/>
        <c:lblAlgn val="ctr"/>
        <c:lblOffset val="100"/>
        <c:noMultiLvlLbl val="0"/>
      </c:catAx>
      <c:valAx>
        <c:axId val="-1628619296"/>
        <c:scaling>
          <c:orientation val="minMax"/>
          <c:max val="100"/>
          <c:min val="0"/>
        </c:scaling>
        <c:delete val="1"/>
        <c:axPos val="l"/>
        <c:numFmt formatCode="_(* #,##0_);_(* \(#,##0\);_(* &quot;-&quot;_);_(@_)" sourceLinked="0"/>
        <c:majorTickMark val="out"/>
        <c:minorTickMark val="none"/>
        <c:tickLblPos val="nextTo"/>
        <c:crossAx val="-16286252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.10422197652763633"/>
          <c:w val="1"/>
          <c:h val="0.7410231805245272"/>
        </c:manualLayout>
      </c:layout>
      <c:lineChart>
        <c:grouping val="standard"/>
        <c:varyColors val="0"/>
        <c:ser>
          <c:idx val="0"/>
          <c:order val="0"/>
          <c:tx>
            <c:strRef>
              <c:f>Tabela!$B$6</c:f>
              <c:strCache>
                <c:ptCount val="1"/>
                <c:pt idx="0">
                  <c:v>Anos Iniciais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4"/>
              <c:layout>
                <c:manualLayout>
                  <c:x val="-2.9447706319947E-2"/>
                  <c:y val="-4.3208017237998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67-4735-9D56-A4EB06B40152}"/>
                </c:ext>
              </c:extLst>
            </c:dLbl>
            <c:dLbl>
              <c:idx val="5"/>
              <c:layout>
                <c:manualLayout>
                  <c:x val="-3.2016749351417781E-2"/>
                  <c:y val="3.2883628258813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367-4735-9D56-A4EB06B401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Tabela!$A$7:$A$12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2022</c:v>
                </c:pt>
                <c:pt idx="5">
                  <c:v>2023</c:v>
                </c:pt>
              </c:strCache>
            </c:strRef>
          </c:cat>
          <c:val>
            <c:numRef>
              <c:f>Tabela!$B$7:$B$12</c:f>
              <c:numCache>
                <c:formatCode>General</c:formatCode>
                <c:ptCount val="6"/>
                <c:pt idx="0">
                  <c:v>93.3</c:v>
                </c:pt>
                <c:pt idx="1">
                  <c:v>94.1</c:v>
                </c:pt>
                <c:pt idx="2">
                  <c:v>95.3</c:v>
                </c:pt>
                <c:pt idx="3">
                  <c:v>96.3</c:v>
                </c:pt>
                <c:pt idx="4">
                  <c:v>90.3</c:v>
                </c:pt>
                <c:pt idx="5">
                  <c:v>90.5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67-4735-9D56-A4EB06B40152}"/>
            </c:ext>
          </c:extLst>
        </c:ser>
        <c:ser>
          <c:idx val="1"/>
          <c:order val="1"/>
          <c:tx>
            <c:strRef>
              <c:f>Tabela!$C$6</c:f>
              <c:strCache>
                <c:ptCount val="1"/>
                <c:pt idx="0">
                  <c:v>Anos Finais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3.7154835414359336E-2"/>
                  <c:y val="-3.2883628258814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367-4735-9D56-A4EB06B401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Tabela!$A$7:$A$12</c:f>
              <c:strCach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2022</c:v>
                </c:pt>
                <c:pt idx="5">
                  <c:v>2023</c:v>
                </c:pt>
              </c:strCache>
            </c:strRef>
          </c:cat>
          <c:val>
            <c:numRef>
              <c:f>Tabela!$C$7:$C$12</c:f>
              <c:numCache>
                <c:formatCode>General</c:formatCode>
                <c:ptCount val="6"/>
                <c:pt idx="0">
                  <c:v>91</c:v>
                </c:pt>
                <c:pt idx="1">
                  <c:v>89.3</c:v>
                </c:pt>
                <c:pt idx="2">
                  <c:v>90.6</c:v>
                </c:pt>
                <c:pt idx="3">
                  <c:v>91.6</c:v>
                </c:pt>
                <c:pt idx="4">
                  <c:v>89.4</c:v>
                </c:pt>
                <c:pt idx="5">
                  <c:v>91.4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67-4735-9D56-A4EB06B401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9598256"/>
        <c:axId val="529596816"/>
      </c:lineChart>
      <c:catAx>
        <c:axId val="52959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29596816"/>
        <c:crosses val="autoZero"/>
        <c:auto val="1"/>
        <c:lblAlgn val="ctr"/>
        <c:lblOffset val="100"/>
        <c:noMultiLvlLbl val="0"/>
      </c:catAx>
      <c:valAx>
        <c:axId val="5295968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959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4620123927548467"/>
          <c:y val="0.76431300644546329"/>
          <c:w val="0.33851207787706633"/>
          <c:h val="4.74186617305508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921574527261616E-2"/>
          <c:y val="0.10029000779344061"/>
          <c:w val="0.97999898266302621"/>
          <c:h val="0.721788102595878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3'!$B$6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3'!$A$9:$A$21</c:f>
              <c:numCache>
                <c:formatCode>General</c:formatCode>
                <c:ptCount val="1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  <c:pt idx="11">
                  <c:v>2022</c:v>
                </c:pt>
                <c:pt idx="12">
                  <c:v>2023</c:v>
                </c:pt>
              </c:numCache>
              <c:extLst/>
            </c:numRef>
          </c:cat>
          <c:val>
            <c:numRef>
              <c:f>'Meta 3'!$B$9:$B$21</c:f>
              <c:numCache>
                <c:formatCode>0.0</c:formatCode>
                <c:ptCount val="13"/>
                <c:pt idx="0">
                  <c:v>8.8000000000000007</c:v>
                </c:pt>
                <c:pt idx="1">
                  <c:v>10.8</c:v>
                </c:pt>
                <c:pt idx="2">
                  <c:v>14.7</c:v>
                </c:pt>
                <c:pt idx="3">
                  <c:v>20.3</c:v>
                </c:pt>
                <c:pt idx="4">
                  <c:v>16.100000000000001</c:v>
                </c:pt>
                <c:pt idx="5">
                  <c:v>12.99</c:v>
                </c:pt>
                <c:pt idx="6">
                  <c:v>17.739999999999998</c:v>
                </c:pt>
                <c:pt idx="7">
                  <c:v>14.34</c:v>
                </c:pt>
                <c:pt idx="8">
                  <c:v>14.4</c:v>
                </c:pt>
                <c:pt idx="9">
                  <c:v>13.09</c:v>
                </c:pt>
                <c:pt idx="10">
                  <c:v>13.5</c:v>
                </c:pt>
                <c:pt idx="11">
                  <c:v>16.579999999999998</c:v>
                </c:pt>
                <c:pt idx="12">
                  <c:v>17.010000000000002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673-4785-A9D4-C1BB4094BB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8620384"/>
        <c:axId val="-1628629632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3'!$C$6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dLbls>
                  <c:dLbl>
                    <c:idx val="9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7673-4785-A9D4-C1BB4094BB1D}"/>
                      </c:ext>
                    </c:extLst>
                  </c:dLbl>
                  <c:dLbl>
                    <c:idx val="10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7673-4785-A9D4-C1BB4094BB1D}"/>
                      </c:ext>
                    </c:extLst>
                  </c:dLbl>
                  <c:dLbl>
                    <c:idx val="11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7673-4785-A9D4-C1BB4094BB1D}"/>
                      </c:ext>
                    </c:extLst>
                  </c:dLbl>
                  <c:dLbl>
                    <c:idx val="12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4-7673-4785-A9D4-C1BB4094BB1D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3'!$A$9:$A$21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3'!$C$9:$C$21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0">
                        <c:v>17.010000000000002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7673-4785-A9D4-C1BB4094BB1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3'!$D$6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3'!$A$9:$A$21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3'!$D$9:$D$21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12" formatCode="0.00">
                        <c:v>17.010000000000002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7673-4785-A9D4-C1BB4094BB1D}"/>
                  </c:ext>
                </c:extLst>
              </c15:ser>
            </c15:filteredBarSeries>
            <c15:filteredBarSeries>
              <c15:ser>
                <c:idx val="1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3'!$E$6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3'!$A$9:$A$21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  <c:pt idx="10">
                        <c:v>2021</c:v>
                      </c:pt>
                      <c:pt idx="11">
                        <c:v>2022</c:v>
                      </c:pt>
                      <c:pt idx="12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3'!$E$9:$E$21</c15:sqref>
                        </c15:formulaRef>
                      </c:ext>
                    </c:extLst>
                    <c:numCache>
                      <c:formatCode>0</c:formatCode>
                      <c:ptCount val="13"/>
                      <c:pt idx="0">
                        <c:v>25</c:v>
                      </c:pt>
                      <c:pt idx="1">
                        <c:v>25</c:v>
                      </c:pt>
                      <c:pt idx="2">
                        <c:v>25</c:v>
                      </c:pt>
                      <c:pt idx="3">
                        <c:v>25</c:v>
                      </c:pt>
                      <c:pt idx="4">
                        <c:v>25</c:v>
                      </c:pt>
                      <c:pt idx="5">
                        <c:v>25</c:v>
                      </c:pt>
                      <c:pt idx="6">
                        <c:v>25</c:v>
                      </c:pt>
                      <c:pt idx="7">
                        <c:v>25</c:v>
                      </c:pt>
                      <c:pt idx="8">
                        <c:v>25</c:v>
                      </c:pt>
                      <c:pt idx="9">
                        <c:v>25</c:v>
                      </c:pt>
                      <c:pt idx="10">
                        <c:v>25</c:v>
                      </c:pt>
                      <c:pt idx="11">
                        <c:v>25</c:v>
                      </c:pt>
                      <c:pt idx="12">
                        <c:v>25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7673-4785-A9D4-C1BB4094BB1D}"/>
                  </c:ext>
                </c:extLst>
              </c15:ser>
            </c15:filteredBarSeries>
          </c:ext>
        </c:extLst>
      </c:barChart>
      <c:catAx>
        <c:axId val="-162862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8629632"/>
        <c:crosses val="autoZero"/>
        <c:auto val="1"/>
        <c:lblAlgn val="ctr"/>
        <c:lblOffset val="100"/>
        <c:noMultiLvlLbl val="0"/>
      </c:catAx>
      <c:valAx>
        <c:axId val="-1628629632"/>
        <c:scaling>
          <c:orientation val="minMax"/>
          <c:max val="25.2"/>
          <c:min val="0"/>
        </c:scaling>
        <c:delete val="1"/>
        <c:axPos val="l"/>
        <c:numFmt formatCode="_(* #,##0_);_(* \(#,##0\);_(* &quot;-&quot;_);_(@_)" sourceLinked="0"/>
        <c:majorTickMark val="none"/>
        <c:minorTickMark val="none"/>
        <c:tickLblPos val="nextTo"/>
        <c:crossAx val="-1628620384"/>
        <c:crosses val="autoZero"/>
        <c:crossBetween val="between"/>
        <c:majorUnit val="2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730846802044482E-2"/>
          <c:y val="0.12504629629629629"/>
          <c:w val="0.966433406350522"/>
          <c:h val="0.655099206297112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'Meta 3'!$B$27</c:f>
              <c:strCache>
                <c:ptCount val="1"/>
                <c:pt idx="0">
                  <c:v>Resultado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'Meta 3'!$A$33:$A$42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  <c:extLst/>
            </c:numRef>
          </c:cat>
          <c:val>
            <c:numRef>
              <c:f>'Meta 3'!$B$33:$B$42</c:f>
              <c:numCache>
                <c:formatCode>0.0</c:formatCode>
                <c:ptCount val="10"/>
                <c:pt idx="0">
                  <c:v>39.6</c:v>
                </c:pt>
                <c:pt idx="1">
                  <c:v>32.299999999999997</c:v>
                </c:pt>
                <c:pt idx="2">
                  <c:v>27</c:v>
                </c:pt>
                <c:pt idx="3">
                  <c:v>33.299999999999997</c:v>
                </c:pt>
                <c:pt idx="4">
                  <c:v>28</c:v>
                </c:pt>
                <c:pt idx="5">
                  <c:v>27.6</c:v>
                </c:pt>
                <c:pt idx="6" formatCode="General">
                  <c:v>25.6</c:v>
                </c:pt>
                <c:pt idx="7" formatCode="General">
                  <c:v>26.5</c:v>
                </c:pt>
                <c:pt idx="8">
                  <c:v>29.11</c:v>
                </c:pt>
                <c:pt idx="9">
                  <c:v>30.24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562A-4950-A942-ABD98CA12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628621472"/>
        <c:axId val="-1628619840"/>
        <c:extLst>
          <c:ext xmlns:c15="http://schemas.microsoft.com/office/drawing/2012/chart" uri="{02D57815-91ED-43cb-92C2-25804820EDAC}">
            <c15:filteredBarSeries>
              <c15:ser>
                <c:idx val="6"/>
                <c:order val="1"/>
                <c:tx>
                  <c:strRef>
                    <c:extLst>
                      <c:ext uri="{02D57815-91ED-43cb-92C2-25804820EDAC}">
                        <c15:formulaRef>
                          <c15:sqref>'Meta 3'!$C$27</c15:sqref>
                        </c15:formulaRef>
                      </c:ext>
                    </c:extLst>
                    <c:strCache>
                      <c:ptCount val="1"/>
                      <c:pt idx="0">
                        <c:v>Tendência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  <a:prstDash val="dash"/>
                  </a:ln>
                  <a:effectLst/>
                </c:spPr>
                <c:invertIfNegative val="0"/>
                <c:dLbls>
                  <c:dLbl>
                    <c:idx val="6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1-562A-4950-A942-ABD98CA1223A}"/>
                      </c:ext>
                    </c:extLst>
                  </c:dLbl>
                  <c:dLbl>
                    <c:idx val="7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2-562A-4950-A942-ABD98CA1223A}"/>
                      </c:ext>
                    </c:extLst>
                  </c:dLbl>
                  <c:dLbl>
                    <c:idx val="8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3-562A-4950-A942-ABD98CA1223A}"/>
                      </c:ext>
                    </c:extLst>
                  </c:dLbl>
                  <c:dLbl>
                    <c:idx val="9"/>
                    <c:delete val="1"/>
                    <c:extLst>
                      <c:ext uri="{CE6537A1-D6FC-4f65-9D91-7224C49458BB}"/>
                      <c:ext xmlns:c16="http://schemas.microsoft.com/office/drawing/2014/chart" uri="{C3380CC4-5D6E-409C-BE32-E72D297353CC}">
                        <c16:uniqueId val="{00000004-562A-4950-A942-ABD98CA1223A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'Meta 3'!$A$33:$A$42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2014</c:v>
                      </c:pt>
                      <c:pt idx="1">
                        <c:v>2015</c:v>
                      </c:pt>
                      <c:pt idx="2">
                        <c:v>2016</c:v>
                      </c:pt>
                      <c:pt idx="3">
                        <c:v>2017</c:v>
                      </c:pt>
                      <c:pt idx="4">
                        <c:v>2018</c:v>
                      </c:pt>
                      <c:pt idx="5">
                        <c:v>2019</c:v>
                      </c:pt>
                      <c:pt idx="6">
                        <c:v>2020</c:v>
                      </c:pt>
                      <c:pt idx="7">
                        <c:v>2021</c:v>
                      </c:pt>
                      <c:pt idx="8">
                        <c:v>2022</c:v>
                      </c:pt>
                      <c:pt idx="9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'Meta 3'!$C$33:$C$42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9" formatCode="0.0">
                        <c:v>30.24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562A-4950-A942-ABD98CA1223A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3'!$D$27</c15:sqref>
                        </c15:formulaRef>
                      </c:ext>
                    </c:extLst>
                    <c:strCache>
                      <c:ptCount val="1"/>
                      <c:pt idx="0">
                        <c:v>Esforço 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solidFill>
                      <a:schemeClr val="accent3"/>
                    </a:solidFill>
                    <a:prstDash val="sysDot"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3'!$A$33:$A$42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2014</c:v>
                      </c:pt>
                      <c:pt idx="1">
                        <c:v>2015</c:v>
                      </c:pt>
                      <c:pt idx="2">
                        <c:v>2016</c:v>
                      </c:pt>
                      <c:pt idx="3">
                        <c:v>2017</c:v>
                      </c:pt>
                      <c:pt idx="4">
                        <c:v>2018</c:v>
                      </c:pt>
                      <c:pt idx="5">
                        <c:v>2019</c:v>
                      </c:pt>
                      <c:pt idx="6">
                        <c:v>2020</c:v>
                      </c:pt>
                      <c:pt idx="7">
                        <c:v>2021</c:v>
                      </c:pt>
                      <c:pt idx="8">
                        <c:v>2022</c:v>
                      </c:pt>
                      <c:pt idx="9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3'!$D$33:$D$42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9" formatCode="0.00">
                        <c:v>30.24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562A-4950-A942-ABD98CA1223A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3'!$E$27</c15:sqref>
                        </c15:formulaRef>
                      </c:ext>
                    </c:extLst>
                    <c:strCache>
                      <c:ptCount val="1"/>
                      <c:pt idx="0">
                        <c:v>Meta  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solidFill>
                      <a:schemeClr val="accent6">
                        <a:lumMod val="75000"/>
                      </a:schemeClr>
                    </a:solidFill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3'!$A$33:$A$42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2014</c:v>
                      </c:pt>
                      <c:pt idx="1">
                        <c:v>2015</c:v>
                      </c:pt>
                      <c:pt idx="2">
                        <c:v>2016</c:v>
                      </c:pt>
                      <c:pt idx="3">
                        <c:v>2017</c:v>
                      </c:pt>
                      <c:pt idx="4">
                        <c:v>2018</c:v>
                      </c:pt>
                      <c:pt idx="5">
                        <c:v>2019</c:v>
                      </c:pt>
                      <c:pt idx="6">
                        <c:v>2020</c:v>
                      </c:pt>
                      <c:pt idx="7">
                        <c:v>2021</c:v>
                      </c:pt>
                      <c:pt idx="8">
                        <c:v>2022</c:v>
                      </c:pt>
                      <c:pt idx="9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'Meta 3'!$E$33:$E$42</c15:sqref>
                        </c15:formulaRef>
                      </c:ext>
                    </c:extLst>
                    <c:numCache>
                      <c:formatCode>0</c:formatCode>
                      <c:ptCount val="10"/>
                      <c:pt idx="0">
                        <c:v>50</c:v>
                      </c:pt>
                      <c:pt idx="1">
                        <c:v>50</c:v>
                      </c:pt>
                      <c:pt idx="2">
                        <c:v>50</c:v>
                      </c:pt>
                      <c:pt idx="3">
                        <c:v>50</c:v>
                      </c:pt>
                      <c:pt idx="4">
                        <c:v>50</c:v>
                      </c:pt>
                      <c:pt idx="5">
                        <c:v>50</c:v>
                      </c:pt>
                      <c:pt idx="6">
                        <c:v>50</c:v>
                      </c:pt>
                      <c:pt idx="7">
                        <c:v>50</c:v>
                      </c:pt>
                      <c:pt idx="8">
                        <c:v>50</c:v>
                      </c:pt>
                      <c:pt idx="9">
                        <c:v>50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562A-4950-A942-ABD98CA1223A}"/>
                  </c:ext>
                </c:extLst>
              </c15:ser>
            </c15:filteredBarSeries>
          </c:ext>
        </c:extLst>
      </c:barChart>
      <c:catAx>
        <c:axId val="-162862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-1628619840"/>
        <c:crosses val="autoZero"/>
        <c:auto val="1"/>
        <c:lblAlgn val="ctr"/>
        <c:lblOffset val="100"/>
        <c:noMultiLvlLbl val="0"/>
      </c:catAx>
      <c:valAx>
        <c:axId val="-1628619840"/>
        <c:scaling>
          <c:orientation val="minMax"/>
          <c:max val="50.1"/>
          <c:min val="0"/>
        </c:scaling>
        <c:delete val="1"/>
        <c:axPos val="l"/>
        <c:numFmt formatCode="_(* #,##0_);_(* \(#,##0\);_(* &quot;-&quot;_);_(@_)" sourceLinked="0"/>
        <c:majorTickMark val="out"/>
        <c:minorTickMark val="none"/>
        <c:tickLblPos val="nextTo"/>
        <c:crossAx val="-162862147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0.05458</cdr:y>
    </cdr:to>
    <cdr:sp macro="" textlink="">
      <cdr:nvSpPr>
        <cdr:cNvPr id="2" name="CaixaDeTexto 1">
          <a:extLst xmlns:a="http://schemas.openxmlformats.org/drawingml/2006/main">
            <a:ext uri="{FF2B5EF4-FFF2-40B4-BE49-F238E27FC236}">
              <a16:creationId xmlns:a16="http://schemas.microsoft.com/office/drawing/2014/main" id="{85261B3F-F4DB-DF2F-B2B0-1C3411DAE437}"/>
            </a:ext>
          </a:extLst>
        </cdr:cNvPr>
        <cdr:cNvSpPr txBox="1"/>
      </cdr:nvSpPr>
      <cdr:spPr>
        <a:xfrm xmlns:a="http://schemas.openxmlformats.org/drawingml/2006/main">
          <a:off x="0" y="0"/>
          <a:ext cx="7762876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200" b="1" kern="1200"/>
            <a:t>Pirâmide Etária da População de Goiás - 2022</a:t>
          </a:r>
        </a:p>
      </cdr:txBody>
    </cdr:sp>
  </cdr:relSizeAnchor>
  <cdr:relSizeAnchor xmlns:cdr="http://schemas.openxmlformats.org/drawingml/2006/chartDrawing">
    <cdr:from>
      <cdr:x>0</cdr:x>
      <cdr:y>0.94894</cdr:y>
    </cdr:from>
    <cdr:to>
      <cdr:x>1</cdr:x>
      <cdr:y>1</cdr:y>
    </cdr:to>
    <cdr:sp macro="" textlink="">
      <cdr:nvSpPr>
        <cdr:cNvPr id="3" name="CaixaDeTexto 2">
          <a:extLst xmlns:a="http://schemas.openxmlformats.org/drawingml/2006/main">
            <a:ext uri="{FF2B5EF4-FFF2-40B4-BE49-F238E27FC236}">
              <a16:creationId xmlns:a16="http://schemas.microsoft.com/office/drawing/2014/main" id="{C22E22B1-564D-2D24-16B8-9F072C2F1AE3}"/>
            </a:ext>
          </a:extLst>
        </cdr:cNvPr>
        <cdr:cNvSpPr txBox="1"/>
      </cdr:nvSpPr>
      <cdr:spPr>
        <a:xfrm xmlns:a="http://schemas.openxmlformats.org/drawingml/2006/main">
          <a:off x="0" y="5133975"/>
          <a:ext cx="7762876" cy="276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pt-BR" sz="1000" b="0" kern="1200"/>
            <a:t>Fonte: Censo Demográfico</a:t>
          </a:r>
          <a:r>
            <a:rPr lang="pt-BR" sz="1000" b="0" kern="1200" baseline="0"/>
            <a:t> 2022/IBGE.</a:t>
          </a:r>
          <a:endParaRPr lang="pt-BR" sz="1000" b="0" kern="1200"/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0.09311</cdr:x>
      <cdr:y>0.04506</cdr:y>
    </cdr:from>
    <cdr:to>
      <cdr:x>0.96834</cdr:x>
      <cdr:y>0.17331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476251" y="123825"/>
          <a:ext cx="4476750" cy="352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1</cdr:x>
      <cdr:y>0.11372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0" y="0"/>
          <a:ext cx="6120000" cy="4667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Percentual da população de 15 a 17 anos que frequenta a escola ou já concluiu a educação básica - Goiás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5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6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7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0.93997</cdr:y>
    </cdr:from>
    <cdr:to>
      <cdr:x>1</cdr:x>
      <cdr:y>1</cdr:y>
    </cdr:to>
    <cdr:sp macro="" textlink="">
      <cdr:nvSpPr>
        <cdr:cNvPr id="13" name="CaixaDeTexto 5">
          <a:extLst xmlns:a="http://schemas.openxmlformats.org/drawingml/2006/main">
            <a:ext uri="{FF2B5EF4-FFF2-40B4-BE49-F238E27FC236}">
              <a16:creationId xmlns:a16="http://schemas.microsoft.com/office/drawing/2014/main" id="{25DE95A8-64D1-4FDE-9CEC-71A8AF8DA42B}"/>
            </a:ext>
          </a:extLst>
        </cdr:cNvPr>
        <cdr:cNvSpPr txBox="1"/>
      </cdr:nvSpPr>
      <cdr:spPr>
        <a:xfrm xmlns:a="http://schemas.openxmlformats.org/drawingml/2006/main">
          <a:off x="0" y="3857625"/>
          <a:ext cx="6120000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2004-2015;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</a:t>
          </a:r>
          <a:r>
            <a:rPr lang="pt-BR" sz="900" baseline="0">
              <a:solidFill>
                <a:schemeClr val="tx1"/>
              </a:solidFill>
              <a:latin typeface="+mj-lt"/>
              <a:ea typeface="+mn-ea"/>
              <a:cs typeface="+mn-cs"/>
            </a:rPr>
            <a:t> 2023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; PnadC Trimestral 2020-2022/IBGE .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0.10212</cdr:y>
    </cdr:to>
    <cdr:sp macro="" textlink="">
      <cdr:nvSpPr>
        <cdr:cNvPr id="3" name="CaixaDeTexto 1"/>
        <cdr:cNvSpPr txBox="1"/>
      </cdr:nvSpPr>
      <cdr:spPr>
        <a:xfrm xmlns:a="http://schemas.openxmlformats.org/drawingml/2006/main">
          <a:off x="0" y="0"/>
          <a:ext cx="6120000" cy="4191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t-BR" sz="1100" b="1"/>
            <a:t>Percentual da população de 15 a 17 anos que frequenta ou já concluiu o ensino médio </a:t>
          </a:r>
          <a:r>
            <a:rPr lang="pt-BR" sz="1100" b="1">
              <a:effectLst/>
              <a:latin typeface="+mn-lt"/>
              <a:ea typeface="+mn-ea"/>
              <a:cs typeface="+mn-cs"/>
            </a:rPr>
            <a:t>- Goiás</a:t>
          </a:r>
          <a:endParaRPr lang="pt-BR" sz="1100" b="1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5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0.94263</cdr:y>
    </cdr:from>
    <cdr:to>
      <cdr:x>1</cdr:x>
      <cdr:y>1</cdr:y>
    </cdr:to>
    <cdr:sp macro="" textlink="">
      <cdr:nvSpPr>
        <cdr:cNvPr id="11" name="CaixaDeTexto 5">
          <a:extLst xmlns:a="http://schemas.openxmlformats.org/drawingml/2006/main">
            <a:ext uri="{FF2B5EF4-FFF2-40B4-BE49-F238E27FC236}">
              <a16:creationId xmlns:a16="http://schemas.microsoft.com/office/drawing/2014/main" id="{1D8EDF04-819F-41E7-B414-D4B07A3FDDE8}"/>
            </a:ext>
          </a:extLst>
        </cdr:cNvPr>
        <cdr:cNvSpPr txBox="1"/>
      </cdr:nvSpPr>
      <cdr:spPr>
        <a:xfrm xmlns:a="http://schemas.openxmlformats.org/drawingml/2006/main">
          <a:off x="0" y="4048125"/>
          <a:ext cx="6120000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2004-2015;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 .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0.00484</cdr:x>
      <cdr:y>0</cdr:y>
    </cdr:from>
    <cdr:to>
      <cdr:x>0.99874</cdr:x>
      <cdr:y>0.10655</cdr:y>
    </cdr:to>
    <cdr:sp macro="" textlink="">
      <cdr:nvSpPr>
        <cdr:cNvPr id="2" name="CaixaDeTexto 1">
          <a:extLst xmlns:a="http://schemas.openxmlformats.org/drawingml/2006/main">
            <a:ext uri="{FF2B5EF4-FFF2-40B4-BE49-F238E27FC236}">
              <a16:creationId xmlns:a16="http://schemas.microsoft.com/office/drawing/2014/main" id="{247B6CEC-A9C7-CA5C-6DE4-3B7F6194DB60}"/>
            </a:ext>
          </a:extLst>
        </cdr:cNvPr>
        <cdr:cNvSpPr txBox="1"/>
      </cdr:nvSpPr>
      <cdr:spPr>
        <a:xfrm xmlns:a="http://schemas.openxmlformats.org/drawingml/2006/main">
          <a:off x="28062" y="-1133856"/>
          <a:ext cx="5764078" cy="4058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1100" b="1"/>
            <a:t>Escolaridade média (em anos de estudo) da população de 18 anos - População</a:t>
          </a:r>
          <a:r>
            <a:rPr lang="pt-BR" sz="1100" b="1" baseline="0"/>
            <a:t> Geral, R</a:t>
          </a:r>
          <a:r>
            <a:rPr lang="pt-BR" sz="1100" b="1"/>
            <a:t>esidentes no campo e dos 25% mais pobres - Goiás</a:t>
          </a:r>
        </a:p>
      </cdr:txBody>
    </cdr:sp>
  </cdr:relSizeAnchor>
  <cdr:relSizeAnchor xmlns:cdr="http://schemas.openxmlformats.org/drawingml/2006/chartDrawing">
    <cdr:from>
      <cdr:x>0</cdr:x>
      <cdr:y>0.94614</cdr:y>
    </cdr:from>
    <cdr:to>
      <cdr:x>1</cdr:x>
      <cdr:y>1</cdr:y>
    </cdr:to>
    <cdr:sp macro="" textlink="">
      <cdr:nvSpPr>
        <cdr:cNvPr id="3" name="CaixaDeTexto 5">
          <a:extLst xmlns:a="http://schemas.openxmlformats.org/drawingml/2006/main">
            <a:ext uri="{FF2B5EF4-FFF2-40B4-BE49-F238E27FC236}">
              <a16:creationId xmlns:a16="http://schemas.microsoft.com/office/drawing/2014/main" id="{BC790109-DABB-2B19-DA04-78ABB2418923}"/>
            </a:ext>
          </a:extLst>
        </cdr:cNvPr>
        <cdr:cNvSpPr txBox="1"/>
      </cdr:nvSpPr>
      <cdr:spPr>
        <a:xfrm xmlns:a="http://schemas.openxmlformats.org/drawingml/2006/main">
          <a:off x="0" y="4528515"/>
          <a:ext cx="8329613" cy="2577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2011-2015;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 .</a:t>
          </a: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0.06499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0" y="0"/>
          <a:ext cx="612000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Ideb Anos</a:t>
          </a:r>
          <a:r>
            <a:rPr lang="pt-BR" sz="1100" b="1" baseline="0"/>
            <a:t> Iniciais, Anos Finais e </a:t>
          </a:r>
          <a:r>
            <a:rPr lang="pt-BR" sz="1100" b="1"/>
            <a:t>Ensino Médio</a:t>
          </a:r>
          <a:r>
            <a:rPr lang="pt-BR" sz="1100" b="1" baseline="0"/>
            <a:t> - Goiás</a:t>
          </a:r>
          <a:endParaRPr lang="pt-BR" sz="1100" b="1"/>
        </a:p>
      </cdr:txBody>
    </cdr:sp>
  </cdr:relSizeAnchor>
  <cdr:relSizeAnchor xmlns:cdr="http://schemas.openxmlformats.org/drawingml/2006/chartDrawing">
    <cdr:from>
      <cdr:x>0</cdr:x>
      <cdr:y>0.93997</cdr:y>
    </cdr:from>
    <cdr:to>
      <cdr:x>1</cdr:x>
      <cdr:y>1</cdr:y>
    </cdr:to>
    <cdr:sp macro="" textlink="">
      <cdr:nvSpPr>
        <cdr:cNvPr id="4" name="CaixaDeTexto 1"/>
        <cdr:cNvSpPr txBox="1"/>
      </cdr:nvSpPr>
      <cdr:spPr>
        <a:xfrm xmlns:a="http://schemas.openxmlformats.org/drawingml/2006/main">
          <a:off x="0" y="3857625"/>
          <a:ext cx="6120000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</a:t>
          </a:r>
          <a:r>
            <a:rPr lang="pt-BR" sz="900">
              <a:effectLst/>
              <a:latin typeface="+mn-lt"/>
              <a:ea typeface="+mn-ea"/>
              <a:cs typeface="+mn-cs"/>
            </a:rPr>
            <a:t>Ideb/Inep.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6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7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8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</cdr:x>
      <cdr:y>0.00571</cdr:y>
    </cdr:from>
    <cdr:to>
      <cdr:x>1</cdr:x>
      <cdr:y>0.13252</cdr:y>
    </cdr:to>
    <cdr:sp macro="" textlink="">
      <cdr:nvSpPr>
        <cdr:cNvPr id="2" name="CaixaDeTexto 3">
          <a:extLst xmlns:a="http://schemas.openxmlformats.org/drawingml/2006/main">
            <a:ext uri="{FF2B5EF4-FFF2-40B4-BE49-F238E27FC236}">
              <a16:creationId xmlns:a16="http://schemas.microsoft.com/office/drawing/2014/main" id="{7A331A46-BCAA-D95B-A006-A9BF76A691E5}"/>
            </a:ext>
          </a:extLst>
        </cdr:cNvPr>
        <cdr:cNvSpPr txBox="1"/>
      </cdr:nvSpPr>
      <cdr:spPr>
        <a:xfrm xmlns:a="http://schemas.openxmlformats.org/drawingml/2006/main">
          <a:off x="0" y="21741"/>
          <a:ext cx="5799455" cy="483007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1100" b="1"/>
            <a:t>Distribuição de Municípios por percentual</a:t>
          </a:r>
          <a:r>
            <a:rPr lang="pt-BR" sz="1100" b="1" baseline="0"/>
            <a:t> de alunos alfabetizados na Rede Municipal - Goiás</a:t>
          </a:r>
          <a:endParaRPr lang="pt-BR" sz="1100" b="1"/>
        </a:p>
      </cdr:txBody>
    </cdr:sp>
  </cdr:relSizeAnchor>
  <cdr:relSizeAnchor xmlns:cdr="http://schemas.openxmlformats.org/drawingml/2006/chartDrawing">
    <cdr:from>
      <cdr:x>0.00436</cdr:x>
      <cdr:y>0.9427</cdr:y>
    </cdr:from>
    <cdr:to>
      <cdr:x>0.93377</cdr:x>
      <cdr:y>1</cdr:y>
    </cdr:to>
    <cdr:sp macro="" textlink="">
      <cdr:nvSpPr>
        <cdr:cNvPr id="3" name="CaixaDeTexto 4">
          <a:extLst xmlns:a="http://schemas.openxmlformats.org/drawingml/2006/main">
            <a:ext uri="{FF2B5EF4-FFF2-40B4-BE49-F238E27FC236}">
              <a16:creationId xmlns:a16="http://schemas.microsoft.com/office/drawing/2014/main" id="{723DAA6D-4253-C819-F0AD-8630E555032B}"/>
            </a:ext>
          </a:extLst>
        </cdr:cNvPr>
        <cdr:cNvSpPr txBox="1"/>
      </cdr:nvSpPr>
      <cdr:spPr>
        <a:xfrm xmlns:a="http://schemas.openxmlformats.org/drawingml/2006/main">
          <a:off x="31750" y="5014914"/>
          <a:ext cx="6772275" cy="3048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1050"/>
            <a:t>Fonte: Criança Alfabetizada/MEC.</a:t>
          </a: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1.63399E-7</cdr:x>
      <cdr:y>0</cdr:y>
    </cdr:from>
    <cdr:to>
      <cdr:x>1</cdr:x>
      <cdr:y>0.06118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1" y="0"/>
          <a:ext cx="6119999" cy="2510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Taxa de alfabetização de pessoas de 15 anos ou mais de idade - Goiás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2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0.93997</cdr:y>
    </cdr:from>
    <cdr:to>
      <cdr:x>1</cdr:x>
      <cdr:y>1</cdr:y>
    </cdr:to>
    <cdr:sp macro="" textlink="">
      <cdr:nvSpPr>
        <cdr:cNvPr id="11" name="CaixaDeTexto 5">
          <a:extLst xmlns:a="http://schemas.openxmlformats.org/drawingml/2006/main">
            <a:ext uri="{FF2B5EF4-FFF2-40B4-BE49-F238E27FC236}">
              <a16:creationId xmlns:a16="http://schemas.microsoft.com/office/drawing/2014/main" id="{13B72130-D874-43CE-83D1-634A1307337C}"/>
            </a:ext>
          </a:extLst>
        </cdr:cNvPr>
        <cdr:cNvSpPr txBox="1"/>
      </cdr:nvSpPr>
      <cdr:spPr>
        <a:xfrm xmlns:a="http://schemas.openxmlformats.org/drawingml/2006/main">
          <a:off x="0" y="3857625"/>
          <a:ext cx="6120000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2011-2015;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 .</a:t>
          </a: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0.07491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0" y="0"/>
          <a:ext cx="5799455" cy="2852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Taxa de analfabetismo funcional de pessoas de 15 anos ou mais de idade - Goiás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2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0.93997</cdr:y>
    </cdr:from>
    <cdr:to>
      <cdr:x>1</cdr:x>
      <cdr:y>1</cdr:y>
    </cdr:to>
    <cdr:sp macro="" textlink="">
      <cdr:nvSpPr>
        <cdr:cNvPr id="11" name="CaixaDeTexto 5">
          <a:extLst xmlns:a="http://schemas.openxmlformats.org/drawingml/2006/main">
            <a:ext uri="{FF2B5EF4-FFF2-40B4-BE49-F238E27FC236}">
              <a16:creationId xmlns:a16="http://schemas.microsoft.com/office/drawing/2014/main" id="{13B72130-D874-43CE-83D1-634A1307337C}"/>
            </a:ext>
          </a:extLst>
        </cdr:cNvPr>
        <cdr:cNvSpPr txBox="1"/>
      </cdr:nvSpPr>
      <cdr:spPr>
        <a:xfrm xmlns:a="http://schemas.openxmlformats.org/drawingml/2006/main">
          <a:off x="0" y="3857625"/>
          <a:ext cx="6120000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2011-2015;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 .</a:t>
          </a:r>
        </a:p>
      </cdr:txBody>
    </cdr:sp>
  </cdr:relSizeAnchor>
</c:userShapes>
</file>

<file path=word/drawings/drawing1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0.99966</cdr:x>
      <cdr:y>0.17256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0" y="0"/>
          <a:ext cx="5797483" cy="6572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Percentual de matrículas de alunos de 4 a 17 anos de idade com deficiência, </a:t>
          </a:r>
          <a:r>
            <a:rPr lang="pt-BR" sz="1100" b="1">
              <a:effectLst/>
              <a:latin typeface="+mn-lt"/>
              <a:ea typeface="+mn-ea"/>
              <a:cs typeface="+mn-cs"/>
            </a:rPr>
            <a:t>TGD e altas habilidades ou superdotação</a:t>
          </a:r>
          <a:r>
            <a:rPr lang="pt-BR" sz="1100" b="1"/>
            <a:t> que frequentava a escola  em classes comuns da educação básica - Goiás</a:t>
          </a:r>
        </a:p>
      </cdr:txBody>
    </cdr:sp>
  </cdr:relSizeAnchor>
  <cdr:relSizeAnchor xmlns:cdr="http://schemas.openxmlformats.org/drawingml/2006/chartDrawing">
    <cdr:from>
      <cdr:x>0</cdr:x>
      <cdr:y>0.94319</cdr:y>
    </cdr:from>
    <cdr:to>
      <cdr:x>1</cdr:x>
      <cdr:y>1</cdr:y>
    </cdr:to>
    <cdr:sp macro="" textlink="">
      <cdr:nvSpPr>
        <cdr:cNvPr id="3" name="CaixaDeTexto 1"/>
        <cdr:cNvSpPr txBox="1"/>
      </cdr:nvSpPr>
      <cdr:spPr>
        <a:xfrm xmlns:a="http://schemas.openxmlformats.org/drawingml/2006/main">
          <a:off x="0" y="3852865"/>
          <a:ext cx="5919974" cy="2320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Censo Escolar da Educação Básica/Inep.</a:t>
          </a:r>
          <a:endParaRPr lang="pt-BR" sz="900">
            <a:effectLst/>
          </a:endParaRP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6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7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8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drawings/drawing1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0.12053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0" y="-5522976"/>
          <a:ext cx="5799455" cy="4590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Razão (%) entre a escolaridade média de negros e a de não negros da população de 18 anos ou mais  - Goiás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2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0.93997</cdr:y>
    </cdr:from>
    <cdr:to>
      <cdr:x>1</cdr:x>
      <cdr:y>1</cdr:y>
    </cdr:to>
    <cdr:sp macro="" textlink="">
      <cdr:nvSpPr>
        <cdr:cNvPr id="11" name="CaixaDeTexto 5">
          <a:extLst xmlns:a="http://schemas.openxmlformats.org/drawingml/2006/main">
            <a:ext uri="{FF2B5EF4-FFF2-40B4-BE49-F238E27FC236}">
              <a16:creationId xmlns:a16="http://schemas.microsoft.com/office/drawing/2014/main" id="{13B72130-D874-43CE-83D1-634A1307337C}"/>
            </a:ext>
          </a:extLst>
        </cdr:cNvPr>
        <cdr:cNvSpPr txBox="1"/>
      </cdr:nvSpPr>
      <cdr:spPr>
        <a:xfrm xmlns:a="http://schemas.openxmlformats.org/drawingml/2006/main">
          <a:off x="0" y="3857625"/>
          <a:ext cx="6120000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2005-2015;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 .</a:t>
          </a:r>
        </a:p>
      </cdr:txBody>
    </cdr:sp>
  </cdr:relSizeAnchor>
</c:userShapes>
</file>

<file path=word/drawings/drawing1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0.99844</cdr:x>
      <cdr:y>1</cdr:y>
    </cdr:to>
    <cdr:sp macro="" textlink="">
      <cdr:nvSpPr>
        <cdr:cNvPr id="5" name="CaixaDeTexto 4"/>
        <cdr:cNvSpPr txBox="1"/>
      </cdr:nvSpPr>
      <cdr:spPr>
        <a:xfrm xmlns:a="http://schemas.openxmlformats.org/drawingml/2006/main">
          <a:off x="0" y="0"/>
          <a:ext cx="6076980" cy="4104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eaLnBrk="1" fontAlgn="auto" latinLnBrk="0" hangingPunct="1"/>
          <a:endParaRPr lang="pt-BR" sz="900" baseline="0"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</cdr:x>
      <cdr:y>0.9381</cdr:y>
    </cdr:from>
    <cdr:to>
      <cdr:x>1</cdr:x>
      <cdr:y>1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0" y="3733799"/>
          <a:ext cx="5605649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Censo Escolar da Educação Básica/Inep</a:t>
          </a:r>
          <a:r>
            <a:rPr lang="pt-BR" sz="900" b="0" i="0" baseline="0">
              <a:effectLst/>
              <a:latin typeface="+mn-lt"/>
              <a:ea typeface="+mn-ea"/>
              <a:cs typeface="+mn-cs"/>
            </a:rPr>
            <a:t>. </a:t>
          </a:r>
          <a:endParaRPr lang="pt-BR" sz="900">
            <a:effectLst/>
          </a:endParaRP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6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7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8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1</cdr:x>
      <cdr:y>0.11605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0" y="0"/>
          <a:ext cx="6120000" cy="4762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t-BR" sz="1100" b="1" baseline="0">
              <a:effectLst/>
              <a:latin typeface="+mn-lt"/>
              <a:ea typeface="+mn-ea"/>
              <a:cs typeface="+mn-cs"/>
            </a:rPr>
            <a:t>Percentual de matrículas de alunos de 4 a 17 anos de idade com deficiência, TGD e altas habilidades ou superdotação matriculados em turmas de AEE - Goiás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0.05889</cdr:y>
    </cdr:to>
    <cdr:sp macro="" textlink="">
      <cdr:nvSpPr>
        <cdr:cNvPr id="2" name="CaixaDeTexto 1">
          <a:extLst xmlns:a="http://schemas.openxmlformats.org/drawingml/2006/main">
            <a:ext uri="{FF2B5EF4-FFF2-40B4-BE49-F238E27FC236}">
              <a16:creationId xmlns:a16="http://schemas.microsoft.com/office/drawing/2014/main" id="{E3EAF9A9-1DF0-C182-22E6-AE429FCEC2FD}"/>
            </a:ext>
          </a:extLst>
        </cdr:cNvPr>
        <cdr:cNvSpPr txBox="1"/>
      </cdr:nvSpPr>
      <cdr:spPr>
        <a:xfrm xmlns:a="http://schemas.openxmlformats.org/drawingml/2006/main">
          <a:off x="0" y="0"/>
          <a:ext cx="6191251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t-BR" sz="1200" b="1" kern="1200" baseline="0">
              <a:effectLst/>
              <a:latin typeface="+mn-lt"/>
              <a:ea typeface="+mn-ea"/>
              <a:cs typeface="+mn-cs"/>
            </a:rPr>
            <a:t>Distribuição das Matrículas da Educaçaõ Básica segundo o turno - Goiás</a:t>
          </a:r>
        </a:p>
      </cdr:txBody>
    </cdr:sp>
  </cdr:relSizeAnchor>
  <cdr:relSizeAnchor xmlns:cdr="http://schemas.openxmlformats.org/drawingml/2006/chartDrawing">
    <cdr:from>
      <cdr:x>0</cdr:x>
      <cdr:y>0.94111</cdr:y>
    </cdr:from>
    <cdr:to>
      <cdr:x>1</cdr:x>
      <cdr:y>1</cdr:y>
    </cdr:to>
    <cdr:sp macro="" textlink="">
      <cdr:nvSpPr>
        <cdr:cNvPr id="3" name="CaixaDeTexto 2">
          <a:extLst xmlns:a="http://schemas.openxmlformats.org/drawingml/2006/main">
            <a:ext uri="{FF2B5EF4-FFF2-40B4-BE49-F238E27FC236}">
              <a16:creationId xmlns:a16="http://schemas.microsoft.com/office/drawing/2014/main" id="{8E5A0678-AB60-3CA3-68C1-0798D2352ACC}"/>
            </a:ext>
          </a:extLst>
        </cdr:cNvPr>
        <cdr:cNvSpPr txBox="1"/>
      </cdr:nvSpPr>
      <cdr:spPr>
        <a:xfrm xmlns:a="http://schemas.openxmlformats.org/drawingml/2006/main">
          <a:off x="0" y="4038315"/>
          <a:ext cx="6191251" cy="252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 eaLnBrk="1" fontAlgn="auto" latinLnBrk="0" hangingPunct="1"/>
          <a:r>
            <a:rPr lang="pt-BR" sz="1000" b="0" kern="1200" baseline="0">
              <a:effectLst/>
              <a:latin typeface="+mn-lt"/>
              <a:ea typeface="+mn-ea"/>
              <a:cs typeface="+mn-cs"/>
            </a:rPr>
            <a:t>Fonte: Censo Escolar da Educação Básica /Inep/MEC.</a:t>
          </a:r>
        </a:p>
      </cdr:txBody>
    </cdr:sp>
  </cdr:relSizeAnchor>
</c:userShapes>
</file>

<file path=word/drawings/drawing20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0.07737</cdr:y>
    </cdr:to>
    <cdr:sp macro="" textlink="">
      <cdr:nvSpPr>
        <cdr:cNvPr id="2" name="CaixaDeTexto 1">
          <a:extLst xmlns:a="http://schemas.openxmlformats.org/drawingml/2006/main">
            <a:ext uri="{FF2B5EF4-FFF2-40B4-BE49-F238E27FC236}">
              <a16:creationId xmlns:a16="http://schemas.microsoft.com/office/drawing/2014/main" id="{48D22452-E065-BBCD-7601-1B1E3FE4E4BE}"/>
            </a:ext>
          </a:extLst>
        </cdr:cNvPr>
        <cdr:cNvSpPr txBox="1"/>
      </cdr:nvSpPr>
      <cdr:spPr>
        <a:xfrm xmlns:a="http://schemas.openxmlformats.org/drawingml/2006/main">
          <a:off x="0" y="-1133856"/>
          <a:ext cx="5799455" cy="2946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1100" b="1"/>
            <a:t>Total de matrículas em educação profissional de nível médio - Goiás</a:t>
          </a:r>
        </a:p>
      </cdr:txBody>
    </cdr:sp>
  </cdr:relSizeAnchor>
  <cdr:relSizeAnchor xmlns:cdr="http://schemas.openxmlformats.org/drawingml/2006/chartDrawing">
    <cdr:from>
      <cdr:x>0.00684</cdr:x>
      <cdr:y>0.93979</cdr:y>
    </cdr:from>
    <cdr:to>
      <cdr:x>1</cdr:x>
      <cdr:y>1</cdr:y>
    </cdr:to>
    <cdr:sp macro="" textlink="">
      <cdr:nvSpPr>
        <cdr:cNvPr id="3" name="CaixaDeTexto 1">
          <a:extLst xmlns:a="http://schemas.openxmlformats.org/drawingml/2006/main">
            <a:ext uri="{FF2B5EF4-FFF2-40B4-BE49-F238E27FC236}">
              <a16:creationId xmlns:a16="http://schemas.microsoft.com/office/drawing/2014/main" id="{58A1B26A-121D-AC71-7518-A1897E99ECD7}"/>
            </a:ext>
          </a:extLst>
        </cdr:cNvPr>
        <cdr:cNvSpPr txBox="1"/>
      </cdr:nvSpPr>
      <cdr:spPr>
        <a:xfrm xmlns:a="http://schemas.openxmlformats.org/drawingml/2006/main">
          <a:off x="42861" y="4068468"/>
          <a:ext cx="6219827" cy="2606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Censo Escolar da Educação Básica</a:t>
          </a:r>
          <a:r>
            <a:rPr lang="pt-BR" sz="900" b="0" i="0" baseline="0">
              <a:effectLst/>
              <a:latin typeface="+mn-lt"/>
              <a:ea typeface="+mn-ea"/>
              <a:cs typeface="+mn-cs"/>
            </a:rPr>
            <a:t>/Inep.</a:t>
          </a:r>
          <a:endParaRPr lang="pt-BR" sz="900">
            <a:effectLst/>
          </a:endParaRPr>
        </a:p>
      </cdr:txBody>
    </cdr:sp>
  </cdr:relSizeAnchor>
</c:userShapes>
</file>

<file path=word/drawings/drawing21.xml><?xml version="1.0" encoding="utf-8"?>
<c:userShapes xmlns:c="http://schemas.openxmlformats.org/drawingml/2006/chart">
  <cdr:relSizeAnchor xmlns:cdr="http://schemas.openxmlformats.org/drawingml/2006/chartDrawing">
    <cdr:from>
      <cdr:x>0.00377</cdr:x>
      <cdr:y>0</cdr:y>
    </cdr:from>
    <cdr:to>
      <cdr:x>1</cdr:x>
      <cdr:y>0.09603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21864" y="0"/>
          <a:ext cx="5777591" cy="3657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Taxa </a:t>
          </a:r>
          <a:r>
            <a:rPr lang="pt-BR" sz="1100" b="1">
              <a:effectLst/>
              <a:latin typeface="+mn-lt"/>
              <a:ea typeface="+mn-ea"/>
              <a:cs typeface="+mn-cs"/>
            </a:rPr>
            <a:t>(%)</a:t>
          </a:r>
          <a:r>
            <a:rPr lang="pt-BR" sz="1100" b="1"/>
            <a:t> bruta de matrículas na graduação para a população</a:t>
          </a:r>
          <a:r>
            <a:rPr lang="pt-BR" sz="1100" b="1" baseline="0"/>
            <a:t> de 18 a 24 anos</a:t>
          </a:r>
          <a:r>
            <a:rPr lang="pt-BR" sz="1100" b="1"/>
            <a:t> - Goiás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2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5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0.93997</cdr:y>
    </cdr:from>
    <cdr:to>
      <cdr:x>1</cdr:x>
      <cdr:y>1</cdr:y>
    </cdr:to>
    <cdr:sp macro="" textlink="">
      <cdr:nvSpPr>
        <cdr:cNvPr id="11" name="CaixaDeTexto 5">
          <a:extLst xmlns:a="http://schemas.openxmlformats.org/drawingml/2006/main">
            <a:ext uri="{FF2B5EF4-FFF2-40B4-BE49-F238E27FC236}">
              <a16:creationId xmlns:a16="http://schemas.microsoft.com/office/drawing/2014/main" id="{13B72130-D874-43CE-83D1-634A1307337C}"/>
            </a:ext>
          </a:extLst>
        </cdr:cNvPr>
        <cdr:cNvSpPr txBox="1"/>
      </cdr:nvSpPr>
      <cdr:spPr>
        <a:xfrm xmlns:a="http://schemas.openxmlformats.org/drawingml/2006/main">
          <a:off x="0" y="3857625"/>
          <a:ext cx="5781675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2011-2015;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 .</a:t>
          </a:r>
        </a:p>
      </cdr:txBody>
    </cdr:sp>
  </cdr:relSizeAnchor>
</c:userShapes>
</file>

<file path=word/drawings/drawing2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0.08835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0" y="0"/>
          <a:ext cx="5799455" cy="336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Taxa </a:t>
          </a:r>
          <a:r>
            <a:rPr lang="pt-BR" sz="1100" b="1">
              <a:effectLst/>
              <a:latin typeface="+mn-lt"/>
              <a:ea typeface="+mn-ea"/>
              <a:cs typeface="+mn-cs"/>
            </a:rPr>
            <a:t>(%)</a:t>
          </a:r>
          <a:r>
            <a:rPr lang="pt-BR" sz="1100" b="1"/>
            <a:t> líquida de matrículas na graduação para a população de 18 a 24 anos - Goiás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2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0.94276</cdr:y>
    </cdr:from>
    <cdr:to>
      <cdr:x>1</cdr:x>
      <cdr:y>1</cdr:y>
    </cdr:to>
    <cdr:sp macro="" textlink="">
      <cdr:nvSpPr>
        <cdr:cNvPr id="11" name="CaixaDeTexto 5">
          <a:extLst xmlns:a="http://schemas.openxmlformats.org/drawingml/2006/main">
            <a:ext uri="{FF2B5EF4-FFF2-40B4-BE49-F238E27FC236}">
              <a16:creationId xmlns:a16="http://schemas.microsoft.com/office/drawing/2014/main" id="{13B72130-D874-43CE-83D1-634A1307337C}"/>
            </a:ext>
          </a:extLst>
        </cdr:cNvPr>
        <cdr:cNvSpPr txBox="1"/>
      </cdr:nvSpPr>
      <cdr:spPr>
        <a:xfrm xmlns:a="http://schemas.openxmlformats.org/drawingml/2006/main">
          <a:off x="0" y="4057650"/>
          <a:ext cx="5715001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2011-2015;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</a:t>
          </a:r>
          <a:r>
            <a:rPr lang="pt-BR" sz="900" baseline="0">
              <a:solidFill>
                <a:schemeClr val="tx1"/>
              </a:solidFill>
              <a:latin typeface="+mj-lt"/>
              <a:ea typeface="+mn-ea"/>
              <a:cs typeface="+mn-cs"/>
            </a:rPr>
            <a:t> 2023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; PnadC Trimestral 2020-2022/IBGE .</a:t>
          </a:r>
        </a:p>
      </cdr:txBody>
    </cdr:sp>
  </cdr:relSizeAnchor>
</c:userShapes>
</file>

<file path=word/drawings/drawing23.xml><?xml version="1.0" encoding="utf-8"?>
<c:userShapes xmlns:c="http://schemas.openxmlformats.org/drawingml/2006/chart">
  <cdr:relSizeAnchor xmlns:cdr="http://schemas.openxmlformats.org/drawingml/2006/chartDrawing">
    <cdr:from>
      <cdr:x>0.1125</cdr:x>
      <cdr:y>0.03299</cdr:y>
    </cdr:from>
    <cdr:to>
      <cdr:x>0.9375</cdr:x>
      <cdr:y>0.18229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514350" y="90488"/>
          <a:ext cx="3771900" cy="4095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0.00388</cdr:x>
      <cdr:y>0</cdr:y>
    </cdr:from>
    <cdr:to>
      <cdr:x>1</cdr:x>
      <cdr:y>0.08451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22502" y="0"/>
          <a:ext cx="5776953" cy="3218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Proporção de docentes na educação superior com mestrado ou doutorado - Goiás</a:t>
          </a:r>
        </a:p>
      </cdr:txBody>
    </cdr:sp>
  </cdr:relSizeAnchor>
  <cdr:relSizeAnchor xmlns:cdr="http://schemas.openxmlformats.org/drawingml/2006/chartDrawing">
    <cdr:from>
      <cdr:x>0</cdr:x>
      <cdr:y>0.93765</cdr:y>
    </cdr:from>
    <cdr:to>
      <cdr:x>1</cdr:x>
      <cdr:y>1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0" y="3848100"/>
          <a:ext cx="6119998" cy="255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Censo da Educação Superior/Inep</a:t>
          </a:r>
          <a:r>
            <a:rPr lang="pt-BR" sz="900" b="0" i="0" baseline="0">
              <a:effectLst/>
              <a:latin typeface="+mn-lt"/>
              <a:ea typeface="+mn-ea"/>
              <a:cs typeface="+mn-cs"/>
            </a:rPr>
            <a:t>.</a:t>
          </a:r>
          <a:endParaRPr lang="pt-BR" sz="900">
            <a:effectLst/>
          </a:endParaRPr>
        </a:p>
      </cdr:txBody>
    </cdr:sp>
  </cdr:relSizeAnchor>
  <cdr:relSizeAnchor xmlns:cdr="http://schemas.openxmlformats.org/drawingml/2006/chartDrawing">
    <cdr:from>
      <cdr:x>0.11685</cdr:x>
      <cdr:y>0.01742</cdr:y>
    </cdr:from>
    <cdr:to>
      <cdr:x>0.88764</cdr:x>
      <cdr:y>0.11847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707571" y="68036"/>
          <a:ext cx="4667250" cy="3946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0.99844</cdr:x>
      <cdr:y>1</cdr:y>
    </cdr:to>
    <cdr:sp macro="" textlink="">
      <cdr:nvSpPr>
        <cdr:cNvPr id="5" name="CaixaDeTexto 4"/>
        <cdr:cNvSpPr txBox="1"/>
      </cdr:nvSpPr>
      <cdr:spPr>
        <a:xfrm xmlns:a="http://schemas.openxmlformats.org/drawingml/2006/main">
          <a:off x="0" y="0"/>
          <a:ext cx="6076980" cy="4104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eaLnBrk="1" fontAlgn="auto" latinLnBrk="0" hangingPunct="1"/>
          <a:endParaRPr lang="pt-BR" sz="900" baseline="0"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10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drawings/drawing2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0.10653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0" y="0"/>
          <a:ext cx="6219826" cy="4348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eaLnBrk="1" fontAlgn="auto" latinLnBrk="0" hangingPunct="1"/>
          <a:r>
            <a:rPr lang="pt-BR" sz="1100" b="1" baseline="0">
              <a:effectLst/>
              <a:latin typeface="+mn-lt"/>
              <a:ea typeface="+mn-ea"/>
              <a:cs typeface="+mn-cs"/>
            </a:rPr>
            <a:t>Percentual do investimento público em educação pública em relação ao PIB do estado (sem gastos previdenciários) - Goiás</a:t>
          </a:r>
        </a:p>
      </cdr:txBody>
    </cdr:sp>
  </cdr:relSizeAnchor>
  <cdr:relSizeAnchor xmlns:cdr="http://schemas.openxmlformats.org/drawingml/2006/chartDrawing">
    <cdr:from>
      <cdr:x>0</cdr:x>
      <cdr:y>0.87965</cdr:y>
    </cdr:from>
    <cdr:to>
      <cdr:x>1</cdr:x>
      <cdr:y>1</cdr:y>
    </cdr:to>
    <cdr:sp macro="" textlink="">
      <cdr:nvSpPr>
        <cdr:cNvPr id="3" name="CaixaDeTexto 1"/>
        <cdr:cNvSpPr txBox="1"/>
      </cdr:nvSpPr>
      <cdr:spPr>
        <a:xfrm xmlns:a="http://schemas.openxmlformats.org/drawingml/2006/main">
          <a:off x="0" y="3350362"/>
          <a:ext cx="5799455" cy="4583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Portal Transparência - Goiás/Relatório resumido da execução orçamentária; Ministério da Economia/Tesouro Transparente/Sincofi; Tribunal de Contas dos Municípios - Goiás; Secretaria-Geral da Governadoria/IMB.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4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5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drawings/drawing2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0.17006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0" y="0"/>
          <a:ext cx="5799455" cy="647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Razão (%) entre o rendimento médio de professores da educação básica da rede pública (exceto federal), com ensino superior completo e o rendimento médio de não professores, com ensino</a:t>
          </a:r>
          <a:r>
            <a:rPr lang="pt-BR" sz="1100" b="1" baseline="0"/>
            <a:t> superior completo </a:t>
          </a:r>
          <a:r>
            <a:rPr lang="pt-BR" sz="1100" b="1"/>
            <a:t>- Goiás</a:t>
          </a: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0.94012</cdr:y>
    </cdr:from>
    <cdr:to>
      <cdr:x>0.95756</cdr:x>
      <cdr:y>1</cdr:y>
    </cdr:to>
    <cdr:sp macro="" textlink="">
      <cdr:nvSpPr>
        <cdr:cNvPr id="11" name="CaixaDeTexto 5">
          <a:extLst xmlns:a="http://schemas.openxmlformats.org/drawingml/2006/main">
            <a:ext uri="{FF2B5EF4-FFF2-40B4-BE49-F238E27FC236}">
              <a16:creationId xmlns:a16="http://schemas.microsoft.com/office/drawing/2014/main" id="{13B72130-D874-43CE-83D1-634A1307337C}"/>
            </a:ext>
          </a:extLst>
        </cdr:cNvPr>
        <cdr:cNvSpPr txBox="1"/>
      </cdr:nvSpPr>
      <cdr:spPr>
        <a:xfrm xmlns:a="http://schemas.openxmlformats.org/drawingml/2006/main">
          <a:off x="0" y="3868426"/>
          <a:ext cx="6120000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2011-2015;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2020-2022/IBGE.</a:t>
          </a:r>
        </a:p>
      </cdr:txBody>
    </cdr:sp>
  </cdr:relSizeAnchor>
</c:userShapes>
</file>

<file path=word/drawings/drawing2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0.06294</cdr:y>
    </cdr:to>
    <cdr:sp macro="" textlink="">
      <cdr:nvSpPr>
        <cdr:cNvPr id="2" name="CaixaDeTexto 1">
          <a:extLst xmlns:a="http://schemas.openxmlformats.org/drawingml/2006/main">
            <a:ext uri="{FF2B5EF4-FFF2-40B4-BE49-F238E27FC236}">
              <a16:creationId xmlns:a16="http://schemas.microsoft.com/office/drawing/2014/main" id="{F02A3994-A0F8-AED8-D08D-D54BC8A83159}"/>
            </a:ext>
          </a:extLst>
        </cdr:cNvPr>
        <cdr:cNvSpPr txBox="1"/>
      </cdr:nvSpPr>
      <cdr:spPr>
        <a:xfrm xmlns:a="http://schemas.openxmlformats.org/drawingml/2006/main">
          <a:off x="0" y="0"/>
          <a:ext cx="6615114" cy="2682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eaLnBrk="1" fontAlgn="auto" latinLnBrk="0" hangingPunct="1"/>
          <a:r>
            <a:rPr lang="pt-BR" sz="1100" b="1" baseline="0">
              <a:latin typeface="+mn-lt"/>
              <a:ea typeface="+mn-ea"/>
              <a:cs typeface="+mn-cs"/>
            </a:rPr>
            <a:t>Percentual dos docentes das redes estadual e municipal com vínculo efetivo - Goiás</a:t>
          </a:r>
          <a:endParaRPr lang="pt-BR" sz="900" b="1" baseline="0"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</cdr:x>
      <cdr:y>0.94105</cdr:y>
    </cdr:from>
    <cdr:to>
      <cdr:x>1</cdr:x>
      <cdr:y>1</cdr:y>
    </cdr:to>
    <cdr:sp macro="" textlink="">
      <cdr:nvSpPr>
        <cdr:cNvPr id="3" name="CaixaDeTexto 1">
          <a:extLst xmlns:a="http://schemas.openxmlformats.org/drawingml/2006/main">
            <a:ext uri="{FF2B5EF4-FFF2-40B4-BE49-F238E27FC236}">
              <a16:creationId xmlns:a16="http://schemas.microsoft.com/office/drawing/2014/main" id="{AA5DA03D-C9FF-53E4-808D-8E878CFE437D}"/>
            </a:ext>
          </a:extLst>
        </cdr:cNvPr>
        <cdr:cNvSpPr txBox="1"/>
      </cdr:nvSpPr>
      <cdr:spPr>
        <a:xfrm xmlns:a="http://schemas.openxmlformats.org/drawingml/2006/main">
          <a:off x="0" y="4011169"/>
          <a:ext cx="6615114" cy="2512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Censo Escolar da Educação Básica/Inep.</a:t>
          </a:r>
          <a:endParaRPr lang="pt-BR" sz="900">
            <a:effectLst/>
          </a:endParaRPr>
        </a:p>
      </cdr:txBody>
    </cdr:sp>
  </cdr:relSizeAnchor>
</c:userShapes>
</file>

<file path=word/drawings/drawing27.xml><?xml version="1.0" encoding="utf-8"?>
<c:userShapes xmlns:c="http://schemas.openxmlformats.org/drawingml/2006/chart">
  <cdr:relSizeAnchor xmlns:cdr="http://schemas.openxmlformats.org/drawingml/2006/chartDrawing">
    <cdr:from>
      <cdr:x>0</cdr:x>
      <cdr:y>2.62555E-7</cdr:y>
    </cdr:from>
    <cdr:to>
      <cdr:x>1</cdr:x>
      <cdr:y>0.08643</cdr:y>
    </cdr:to>
    <cdr:sp macro="" textlink="">
      <cdr:nvSpPr>
        <cdr:cNvPr id="2" name="CaixaDeTexto 1">
          <a:extLst xmlns:a="http://schemas.openxmlformats.org/drawingml/2006/main">
            <a:ext uri="{FF2B5EF4-FFF2-40B4-BE49-F238E27FC236}">
              <a16:creationId xmlns:a16="http://schemas.microsoft.com/office/drawing/2014/main" id="{41472F60-DA55-44DE-07C7-9C39A8A706F4}"/>
            </a:ext>
          </a:extLst>
        </cdr:cNvPr>
        <cdr:cNvSpPr txBox="1"/>
      </cdr:nvSpPr>
      <cdr:spPr>
        <a:xfrm xmlns:a="http://schemas.openxmlformats.org/drawingml/2006/main">
          <a:off x="0" y="1"/>
          <a:ext cx="5799455" cy="3291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t-BR" sz="1100" b="1">
              <a:effectLst/>
              <a:latin typeface="+mn-lt"/>
              <a:ea typeface="+mn-ea"/>
              <a:cs typeface="+mn-cs"/>
            </a:rPr>
            <a:t>Percentual de professores com formação adequada à disciplina que lecionam </a:t>
          </a:r>
          <a:r>
            <a:rPr lang="pt-BR" sz="1100" b="1"/>
            <a:t>- Goiás</a:t>
          </a:r>
        </a:p>
      </cdr:txBody>
    </cdr:sp>
  </cdr:relSizeAnchor>
  <cdr:relSizeAnchor xmlns:cdr="http://schemas.openxmlformats.org/drawingml/2006/chartDrawing">
    <cdr:from>
      <cdr:x>0</cdr:x>
      <cdr:y>0.95038</cdr:y>
    </cdr:from>
    <cdr:to>
      <cdr:x>1</cdr:x>
      <cdr:y>1</cdr:y>
    </cdr:to>
    <cdr:sp macro="" textlink="">
      <cdr:nvSpPr>
        <cdr:cNvPr id="3" name="CaixaDeTexto 1">
          <a:extLst xmlns:a="http://schemas.openxmlformats.org/drawingml/2006/main">
            <a:ext uri="{FF2B5EF4-FFF2-40B4-BE49-F238E27FC236}">
              <a16:creationId xmlns:a16="http://schemas.microsoft.com/office/drawing/2014/main" id="{5DF07580-53EA-0FDC-8BBF-E3A431D76AF3}"/>
            </a:ext>
          </a:extLst>
        </cdr:cNvPr>
        <cdr:cNvSpPr txBox="1"/>
      </cdr:nvSpPr>
      <cdr:spPr>
        <a:xfrm xmlns:a="http://schemas.openxmlformats.org/drawingml/2006/main">
          <a:off x="0" y="4195763"/>
          <a:ext cx="7729539" cy="2190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Indicadores Educacionais/Inep.</a:t>
          </a:r>
          <a:endParaRPr lang="pt-BR" sz="900">
            <a:effectLst/>
          </a:endParaRPr>
        </a:p>
      </cdr:txBody>
    </cdr:sp>
  </cdr:relSizeAnchor>
</c:userShapes>
</file>

<file path=word/drawings/drawing2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0.11716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0" y="0"/>
          <a:ext cx="5799455" cy="4462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Percentual</a:t>
          </a:r>
          <a:r>
            <a:rPr lang="pt-BR" sz="1100" b="1" baseline="0"/>
            <a:t> de p</a:t>
          </a:r>
          <a:r>
            <a:rPr lang="pt-BR" sz="1100" b="1"/>
            <a:t>rofessores da educação básica com pós-graduação </a:t>
          </a:r>
          <a:r>
            <a:rPr lang="pt-BR" sz="1100" b="1" i="1"/>
            <a:t>lato sensu </a:t>
          </a:r>
          <a:r>
            <a:rPr lang="pt-BR" sz="1100" b="1"/>
            <a:t>ou </a:t>
          </a:r>
          <a:r>
            <a:rPr lang="pt-BR" sz="1100" b="1" i="1"/>
            <a:t>stricto sensu</a:t>
          </a:r>
          <a:r>
            <a:rPr lang="pt-BR" sz="1100" b="1"/>
            <a:t> - Goiás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0.99844</cdr:x>
      <cdr:y>1</cdr:y>
    </cdr:to>
    <cdr:sp macro="" textlink="">
      <cdr:nvSpPr>
        <cdr:cNvPr id="5" name="CaixaDeTexto 4"/>
        <cdr:cNvSpPr txBox="1"/>
      </cdr:nvSpPr>
      <cdr:spPr>
        <a:xfrm xmlns:a="http://schemas.openxmlformats.org/drawingml/2006/main">
          <a:off x="0" y="0"/>
          <a:ext cx="6076980" cy="4104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eaLnBrk="1" fontAlgn="auto" latinLnBrk="0" hangingPunct="1"/>
          <a:endParaRPr lang="pt-BR" sz="900" baseline="0">
            <a:effectLst/>
            <a:latin typeface="+mn-lt"/>
            <a:ea typeface="+mn-ea"/>
            <a:cs typeface="+mn-cs"/>
          </a:endParaRPr>
        </a:p>
      </cdr:txBody>
    </cdr:sp>
  </cdr:relSizeAnchor>
  <cdr:relSizeAnchor xmlns:cdr="http://schemas.openxmlformats.org/drawingml/2006/chartDrawing">
    <cdr:from>
      <cdr:x>0</cdr:x>
      <cdr:y>0.93772</cdr:y>
    </cdr:from>
    <cdr:to>
      <cdr:x>1</cdr:x>
      <cdr:y>1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0" y="3871915"/>
          <a:ext cx="6800852" cy="2571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Censo Escolar da Educação Básica/Inep</a:t>
          </a:r>
          <a:r>
            <a:rPr lang="pt-BR" sz="900" b="0" i="0" baseline="0">
              <a:effectLst/>
              <a:latin typeface="+mn-lt"/>
              <a:ea typeface="+mn-ea"/>
              <a:cs typeface="+mn-cs"/>
            </a:rPr>
            <a:t>.</a:t>
          </a:r>
          <a:endParaRPr lang="pt-BR" sz="900">
            <a:effectLst/>
          </a:endParaRP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6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7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8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0.88235</cdr:y>
    </cdr:from>
    <cdr:to>
      <cdr:x>1</cdr:x>
      <cdr:y>1</cdr:y>
    </cdr:to>
    <cdr:sp macro="" textlink="">
      <cdr:nvSpPr>
        <cdr:cNvPr id="6" name="CaixaDeTexto 5"/>
        <cdr:cNvSpPr txBox="1"/>
      </cdr:nvSpPr>
      <cdr:spPr>
        <a:xfrm xmlns:a="http://schemas.openxmlformats.org/drawingml/2006/main">
          <a:off x="0" y="3143251"/>
          <a:ext cx="5810250" cy="4190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2011-2015;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PnadC Anual 2016-2023/IBGE.</a:t>
          </a:r>
        </a:p>
        <a:p xmlns:a="http://schemas.openxmlformats.org/drawingml/2006/main">
          <a:pPr algn="l"/>
          <a:r>
            <a:rPr lang="pt-BR" sz="900" baseline="0">
              <a:solidFill>
                <a:schemeClr val="tx1"/>
              </a:solidFill>
              <a:latin typeface="+mj-lt"/>
            </a:rPr>
            <a:t>Nota: nos anos de 2020 e 2021 não houve divulgação da PnadC Anual Educação.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1</cdr:x>
      <cdr:y>0.06988</cdr:y>
    </cdr:to>
    <cdr:sp macro="" textlink="">
      <cdr:nvSpPr>
        <cdr:cNvPr id="11" name="CaixaDeTexto 1"/>
        <cdr:cNvSpPr txBox="1"/>
      </cdr:nvSpPr>
      <cdr:spPr>
        <a:xfrm xmlns:a="http://schemas.openxmlformats.org/drawingml/2006/main">
          <a:off x="0" y="0"/>
          <a:ext cx="6120000" cy="2867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t-BR" sz="1100" b="1" i="0">
              <a:effectLst/>
              <a:latin typeface="+mn-lt"/>
              <a:ea typeface="+mn-ea"/>
              <a:cs typeface="+mn-cs"/>
            </a:rPr>
            <a:t>Percentual da população de 4 e 5 anos que frequenta escola ou creche</a:t>
          </a:r>
          <a:r>
            <a:rPr lang="pt-BR" sz="1100" b="1" i="0" baseline="0">
              <a:effectLst/>
              <a:latin typeface="+mn-lt"/>
              <a:ea typeface="+mn-ea"/>
              <a:cs typeface="+mn-cs"/>
            </a:rPr>
            <a:t> - Goiás</a:t>
          </a:r>
          <a:endParaRPr lang="pt-BR" b="1">
            <a:effectLst/>
          </a:endParaRPr>
        </a:p>
        <a:p xmlns:a="http://schemas.openxmlformats.org/drawingml/2006/main">
          <a:pPr algn="ctr"/>
          <a:endParaRPr lang="pt-BR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0.64167</cdr:x>
      <cdr:y>0.07465</cdr:y>
    </cdr:from>
    <cdr:to>
      <cdr:x>0.84167</cdr:x>
      <cdr:y>0.40799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2933700" y="20478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0.00403</cdr:x>
      <cdr:y>0</cdr:y>
    </cdr:from>
    <cdr:to>
      <cdr:x>1</cdr:x>
      <cdr:y>0.1248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23377" y="0"/>
          <a:ext cx="5777348" cy="4754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t-BR" sz="1100" b="1" i="0">
              <a:effectLst/>
              <a:latin typeface="+mn-lt"/>
              <a:ea typeface="+mn-ea"/>
              <a:cs typeface="+mn-cs"/>
            </a:rPr>
            <a:t>Percentual da população de 0 a 3 anos que frequenta escola ou creche</a:t>
          </a:r>
          <a:r>
            <a:rPr lang="pt-BR" sz="1100" b="1" i="0" baseline="0">
              <a:effectLst/>
              <a:latin typeface="+mn-lt"/>
              <a:ea typeface="+mn-ea"/>
              <a:cs typeface="+mn-cs"/>
            </a:rPr>
            <a:t> - Goiás</a:t>
          </a:r>
          <a:endParaRPr lang="pt-BR" sz="1100" b="1"/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5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7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8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13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14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15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23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24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25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0.88</cdr:y>
    </cdr:from>
    <cdr:to>
      <cdr:x>1</cdr:x>
      <cdr:y>0.99782</cdr:y>
    </cdr:to>
    <cdr:sp macro="" textlink="">
      <cdr:nvSpPr>
        <cdr:cNvPr id="26" name="CaixaDeTexto 5"/>
        <cdr:cNvSpPr txBox="1"/>
      </cdr:nvSpPr>
      <cdr:spPr>
        <a:xfrm xmlns:a="http://schemas.openxmlformats.org/drawingml/2006/main">
          <a:off x="0" y="3352800"/>
          <a:ext cx="5800725" cy="4488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indent="0" algn="l"/>
          <a:r>
            <a:rPr lang="pt-BR" sz="900">
              <a:latin typeface="+mj-lt"/>
              <a:ea typeface="+mn-ea"/>
              <a:cs typeface="+mn-cs"/>
            </a:rPr>
            <a:t>Fonte: Pnad 2011-2015; PnadC Anual 2016-2023/IBGE.</a:t>
          </a:r>
        </a:p>
        <a:p xmlns:a="http://schemas.openxmlformats.org/drawingml/2006/main">
          <a:pPr marL="0" marR="0" lvl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t-BR" sz="900">
              <a:latin typeface="+mj-lt"/>
              <a:ea typeface="+mn-ea"/>
              <a:cs typeface="+mn-cs"/>
            </a:rPr>
            <a:t>Nota: nos anos de 2020 e 2021 não houve divulgação da PnadC Anual Educação.</a:t>
          </a:r>
          <a:endParaRPr lang="pt-BR" sz="900">
            <a:effectLst/>
          </a:endParaRPr>
        </a:p>
        <a:p xmlns:a="http://schemas.openxmlformats.org/drawingml/2006/main">
          <a:pPr algn="l"/>
          <a:endParaRPr lang="pt-BR" sz="900" baseline="0">
            <a:solidFill>
              <a:schemeClr val="tx1"/>
            </a:solidFill>
            <a:latin typeface="+mj-lt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0.50833</cdr:x>
      <cdr:y>0.11007</cdr:y>
    </cdr:from>
    <cdr:to>
      <cdr:x>0.70833</cdr:x>
      <cdr:y>0.46828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2324100" y="28098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0.00333</cdr:y>
    </cdr:from>
    <cdr:to>
      <cdr:x>1</cdr:x>
      <cdr:y>0.11953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0" y="13666"/>
          <a:ext cx="6120000" cy="4768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Percentual da população de 6 a 14 anos que frequenta ou que já concluiu</a:t>
          </a:r>
          <a:r>
            <a:rPr lang="pt-BR" sz="1100" b="1" baseline="0"/>
            <a:t> </a:t>
          </a:r>
          <a:r>
            <a:rPr lang="pt-BR" sz="1100" b="1"/>
            <a:t>o ensino fundamental</a:t>
          </a:r>
          <a:r>
            <a:rPr lang="pt-BR" sz="1100" b="1" baseline="0"/>
            <a:t> - Goiás</a:t>
          </a:r>
          <a:endParaRPr lang="pt-BR" sz="1100" b="1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6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7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0.92938</cdr:y>
    </cdr:from>
    <cdr:to>
      <cdr:x>1</cdr:x>
      <cdr:y>1</cdr:y>
    </cdr:to>
    <cdr:sp macro="" textlink="">
      <cdr:nvSpPr>
        <cdr:cNvPr id="12" name="CaixaDeTexto 5">
          <a:extLst xmlns:a="http://schemas.openxmlformats.org/drawingml/2006/main">
            <a:ext uri="{FF2B5EF4-FFF2-40B4-BE49-F238E27FC236}">
              <a16:creationId xmlns:a16="http://schemas.microsoft.com/office/drawing/2014/main" id="{25DE95A8-64D1-4FDE-9CEC-71A8AF8DA42B}"/>
            </a:ext>
          </a:extLst>
        </cdr:cNvPr>
        <cdr:cNvSpPr txBox="1"/>
      </cdr:nvSpPr>
      <cdr:spPr>
        <a:xfrm xmlns:a="http://schemas.openxmlformats.org/drawingml/2006/main">
          <a:off x="0" y="3133725"/>
          <a:ext cx="5276850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2005-2015;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 .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0.00377</cdr:x>
      <cdr:y>0</cdr:y>
    </cdr:from>
    <cdr:to>
      <cdr:x>0.99812</cdr:x>
      <cdr:y>0.11372</cdr:y>
    </cdr:to>
    <cdr:sp macro="" textlink="">
      <cdr:nvSpPr>
        <cdr:cNvPr id="4" name="CaixaDeTexto 3"/>
        <cdr:cNvSpPr txBox="1"/>
      </cdr:nvSpPr>
      <cdr:spPr>
        <a:xfrm xmlns:a="http://schemas.openxmlformats.org/drawingml/2006/main">
          <a:off x="23072" y="0"/>
          <a:ext cx="6085422" cy="4667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t-BR" sz="1100" b="1">
              <a:effectLst/>
              <a:latin typeface="+mn-lt"/>
              <a:ea typeface="+mn-ea"/>
              <a:cs typeface="+mn-cs"/>
            </a:rPr>
            <a:t>Percentual  de pessoas de 16 anos com pelo menos o ensino fundamental concluído</a:t>
          </a:r>
          <a:r>
            <a:rPr lang="pt-BR" sz="1100" b="1" baseline="0">
              <a:effectLst/>
              <a:latin typeface="+mn-lt"/>
              <a:ea typeface="+mn-ea"/>
              <a:cs typeface="+mn-cs"/>
            </a:rPr>
            <a:t> - Goiás</a:t>
          </a:r>
          <a:endParaRPr lang="pt-BR" b="1">
            <a:effectLst/>
          </a:endParaRPr>
        </a:p>
        <a:p xmlns:a="http://schemas.openxmlformats.org/drawingml/2006/main">
          <a:pPr algn="ctr"/>
          <a:endParaRPr lang="pt-BR" sz="1100" b="1"/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2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</cdr:x>
      <cdr:y>0.94263</cdr:y>
    </cdr:from>
    <cdr:to>
      <cdr:x>1</cdr:x>
      <cdr:y>1</cdr:y>
    </cdr:to>
    <cdr:sp macro="" textlink="">
      <cdr:nvSpPr>
        <cdr:cNvPr id="11" name="CaixaDeTexto 5">
          <a:extLst xmlns:a="http://schemas.openxmlformats.org/drawingml/2006/main">
            <a:ext uri="{FF2B5EF4-FFF2-40B4-BE49-F238E27FC236}">
              <a16:creationId xmlns:a16="http://schemas.microsoft.com/office/drawing/2014/main" id="{25DE95A8-64D1-4FDE-9CEC-71A8AF8DA42B}"/>
            </a:ext>
          </a:extLst>
        </cdr:cNvPr>
        <cdr:cNvSpPr txBox="1"/>
      </cdr:nvSpPr>
      <cdr:spPr>
        <a:xfrm xmlns:a="http://schemas.openxmlformats.org/drawingml/2006/main">
          <a:off x="0" y="4048125"/>
          <a:ext cx="6120000" cy="246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t-BR" sz="900">
              <a:latin typeface="+mj-lt"/>
            </a:rPr>
            <a:t>Fonte: Pnad </a:t>
          </a:r>
          <a:r>
            <a:rPr lang="pt-BR" sz="900">
              <a:solidFill>
                <a:schemeClr val="tx1"/>
              </a:solidFill>
              <a:latin typeface="+mj-lt"/>
            </a:rPr>
            <a:t>2011-2015;</a:t>
          </a:r>
          <a:r>
            <a:rPr lang="pt-BR" sz="900" baseline="0">
              <a:solidFill>
                <a:schemeClr val="tx1"/>
              </a:solidFill>
              <a:latin typeface="+mj-lt"/>
            </a:rPr>
            <a:t> </a:t>
          </a:r>
          <a:r>
            <a:rPr lang="pt-BR" sz="900">
              <a:solidFill>
                <a:schemeClr val="tx1"/>
              </a:solidFill>
              <a:latin typeface="+mj-lt"/>
              <a:ea typeface="+mn-ea"/>
              <a:cs typeface="+mn-cs"/>
            </a:rPr>
            <a:t>PnadC Anual 2016-2019 e 2023; PnadC Trimestral 2020-2022/IBGE .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0.07271</cdr:y>
    </cdr:to>
    <cdr:sp macro="" textlink="">
      <cdr:nvSpPr>
        <cdr:cNvPr id="2" name="CaixaDeTexto 1">
          <a:extLst xmlns:a="http://schemas.openxmlformats.org/drawingml/2006/main">
            <a:ext uri="{FF2B5EF4-FFF2-40B4-BE49-F238E27FC236}">
              <a16:creationId xmlns:a16="http://schemas.microsoft.com/office/drawing/2014/main" id="{617416E9-86CC-0802-73EE-F11D1BE42EDA}"/>
            </a:ext>
          </a:extLst>
        </cdr:cNvPr>
        <cdr:cNvSpPr txBox="1"/>
      </cdr:nvSpPr>
      <cdr:spPr>
        <a:xfrm xmlns:a="http://schemas.openxmlformats.org/drawingml/2006/main">
          <a:off x="0" y="0"/>
          <a:ext cx="6038851" cy="3286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 kern="1200"/>
            <a:t>Taxa ajustada de frequência escolar líquida (%) - Goiás</a:t>
          </a:r>
        </a:p>
      </cdr:txBody>
    </cdr:sp>
  </cdr:relSizeAnchor>
  <cdr:relSizeAnchor xmlns:cdr="http://schemas.openxmlformats.org/drawingml/2006/chartDrawing">
    <cdr:from>
      <cdr:x>0</cdr:x>
      <cdr:y>0.92729</cdr:y>
    </cdr:from>
    <cdr:to>
      <cdr:x>1</cdr:x>
      <cdr:y>1</cdr:y>
    </cdr:to>
    <cdr:sp macro="" textlink="">
      <cdr:nvSpPr>
        <cdr:cNvPr id="3" name="CaixaDeTexto 2">
          <a:extLst xmlns:a="http://schemas.openxmlformats.org/drawingml/2006/main">
            <a:ext uri="{FF2B5EF4-FFF2-40B4-BE49-F238E27FC236}">
              <a16:creationId xmlns:a16="http://schemas.microsoft.com/office/drawing/2014/main" id="{4AA2F1C9-A677-9272-F011-7D3BBAF51879}"/>
            </a:ext>
          </a:extLst>
        </cdr:cNvPr>
        <cdr:cNvSpPr txBox="1"/>
      </cdr:nvSpPr>
      <cdr:spPr>
        <a:xfrm xmlns:a="http://schemas.openxmlformats.org/drawingml/2006/main">
          <a:off x="0" y="4190999"/>
          <a:ext cx="6038851" cy="3286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pt-BR" sz="1000" b="0" kern="1200"/>
            <a:t>Fonte:</a:t>
          </a:r>
          <a:r>
            <a:rPr lang="pt-BR" sz="1000" b="0" kern="1200" baseline="0"/>
            <a:t> Pnad Contínua Anual Educação/IBGE.</a:t>
          </a:r>
          <a:r>
            <a:rPr lang="pt-BR" sz="1000" b="0" kern="1200"/>
            <a:t> 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</cdr:x>
      <cdr:y>0.933</cdr:y>
    </cdr:from>
    <cdr:to>
      <cdr:x>1</cdr:x>
      <cdr:y>1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0" y="3829050"/>
          <a:ext cx="6120000" cy="274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Censo Escolar da Educação Básica/Inep</a:t>
          </a:r>
          <a:r>
            <a:rPr lang="pt-BR" sz="900" b="0" i="0" baseline="0">
              <a:effectLst/>
              <a:latin typeface="+mn-lt"/>
              <a:ea typeface="+mn-ea"/>
              <a:cs typeface="+mn-cs"/>
            </a:rPr>
            <a:t>.</a:t>
          </a:r>
          <a:endParaRPr lang="pt-BR" sz="900">
            <a:effectLst/>
          </a:endParaRPr>
        </a:p>
      </cdr:txBody>
    </cdr:sp>
  </cdr:relSizeAnchor>
  <cdr:relSizeAnchor xmlns:cdr="http://schemas.openxmlformats.org/drawingml/2006/chartDrawing">
    <cdr:from>
      <cdr:x>0.00187</cdr:x>
      <cdr:y>0</cdr:y>
    </cdr:from>
    <cdr:to>
      <cdr:x>1</cdr:x>
      <cdr:y>0.06486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11444" y="0"/>
          <a:ext cx="6108556" cy="2661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t-BR" sz="1100" b="1">
              <a:effectLst/>
              <a:latin typeface="+mn-lt"/>
              <a:ea typeface="+mn-ea"/>
              <a:cs typeface="+mn-cs"/>
            </a:rPr>
            <a:t>Percentual de matrículas em tempo integral - Goiás</a:t>
          </a:r>
          <a:endParaRPr lang="pt-BR" b="1">
            <a:effectLst/>
          </a:endParaRPr>
        </a:p>
        <a:p xmlns:a="http://schemas.openxmlformats.org/drawingml/2006/main">
          <a:pPr algn="ctr"/>
          <a:endParaRPr lang="pt-BR" sz="1100" b="1"/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4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5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6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0.9965</cdr:x>
      <cdr:y>0.13254</cdr:y>
    </cdr:to>
    <cdr:sp macro="" textlink="">
      <cdr:nvSpPr>
        <cdr:cNvPr id="3" name="CaixaDeTexto 2"/>
        <cdr:cNvSpPr txBox="1"/>
      </cdr:nvSpPr>
      <cdr:spPr>
        <a:xfrm xmlns:a="http://schemas.openxmlformats.org/drawingml/2006/main">
          <a:off x="0" y="0"/>
          <a:ext cx="5779157" cy="5048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pt-BR" sz="1100" b="1"/>
            <a:t>Percentual de escolas públicas com mínimo</a:t>
          </a:r>
          <a:r>
            <a:rPr lang="pt-BR" sz="1100" b="1" baseline="0"/>
            <a:t> de </a:t>
          </a:r>
          <a:r>
            <a:rPr lang="pt-BR" sz="1100" b="1"/>
            <a:t>25% de matrículas</a:t>
          </a:r>
          <a:r>
            <a:rPr lang="pt-BR" sz="1100" b="1" baseline="0"/>
            <a:t> em tempo integral - Goiás</a:t>
          </a:r>
          <a:endParaRPr lang="pt-BR" sz="1100" b="1"/>
        </a:p>
      </cdr:txBody>
    </cdr:sp>
  </cdr:relSizeAnchor>
  <cdr:relSizeAnchor xmlns:cdr="http://schemas.openxmlformats.org/drawingml/2006/chartDrawing">
    <cdr:from>
      <cdr:x>0</cdr:x>
      <cdr:y>0.93533</cdr:y>
    </cdr:from>
    <cdr:to>
      <cdr:x>1</cdr:x>
      <cdr:y>1</cdr:y>
    </cdr:to>
    <cdr:sp macro="" textlink="">
      <cdr:nvSpPr>
        <cdr:cNvPr id="2" name="CaixaDeTexto 1"/>
        <cdr:cNvSpPr txBox="1"/>
      </cdr:nvSpPr>
      <cdr:spPr>
        <a:xfrm xmlns:a="http://schemas.openxmlformats.org/drawingml/2006/main">
          <a:off x="0" y="3838576"/>
          <a:ext cx="5939024" cy="2654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eaLnBrk="1" fontAlgn="auto" latinLnBrk="0" hangingPunct="1"/>
          <a:r>
            <a:rPr lang="pt-BR" sz="900" baseline="0">
              <a:effectLst/>
              <a:latin typeface="+mn-lt"/>
              <a:ea typeface="+mn-ea"/>
              <a:cs typeface="+mn-cs"/>
            </a:rPr>
            <a:t>Fonte: Censo Escolar da Educação Básica/Inep</a:t>
          </a:r>
          <a:r>
            <a:rPr lang="pt-BR" sz="900" b="0" i="0" baseline="0">
              <a:effectLst/>
              <a:latin typeface="+mn-lt"/>
              <a:ea typeface="+mn-ea"/>
              <a:cs typeface="+mn-cs"/>
            </a:rPr>
            <a:t>.</a:t>
          </a:r>
          <a:endParaRPr lang="pt-BR" sz="900">
            <a:effectLst/>
          </a:endParaRPr>
        </a:p>
      </cdr:txBody>
    </cdr:sp>
  </cdr:relSizeAnchor>
  <cdr:relSizeAnchor xmlns:cdr="http://schemas.openxmlformats.org/drawingml/2006/chartDrawing">
    <cdr:from>
      <cdr:x>0.04792</cdr:x>
      <cdr:y>0.04478</cdr:y>
    </cdr:from>
    <cdr:to>
      <cdr:x>0.9375</cdr:x>
      <cdr:y>0.16045</cdr:y>
    </cdr:to>
    <cdr:sp macro="" textlink="">
      <cdr:nvSpPr>
        <cdr:cNvPr id="6" name="CaixaDeTexto 2"/>
        <cdr:cNvSpPr txBox="1"/>
      </cdr:nvSpPr>
      <cdr:spPr>
        <a:xfrm xmlns:a="http://schemas.openxmlformats.org/drawingml/2006/main">
          <a:off x="219075" y="114300"/>
          <a:ext cx="40671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0.05625</cdr:x>
      <cdr:y>0.07836</cdr:y>
    </cdr:from>
    <cdr:to>
      <cdr:x>0.96458</cdr:x>
      <cdr:y>0.19776</cdr:y>
    </cdr:to>
    <cdr:sp macro="" textlink="">
      <cdr:nvSpPr>
        <cdr:cNvPr id="7" name="CaixaDeTexto 3"/>
        <cdr:cNvSpPr txBox="1"/>
      </cdr:nvSpPr>
      <cdr:spPr>
        <a:xfrm xmlns:a="http://schemas.openxmlformats.org/drawingml/2006/main">
          <a:off x="257175" y="200025"/>
          <a:ext cx="415290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  <cdr:relSizeAnchor xmlns:cdr="http://schemas.openxmlformats.org/drawingml/2006/chartDrawing">
    <cdr:from>
      <cdr:x>0.10117</cdr:x>
      <cdr:y>0.90448</cdr:y>
    </cdr:from>
    <cdr:to>
      <cdr:x>0.93385</cdr:x>
      <cdr:y>0.97015</cdr:y>
    </cdr:to>
    <cdr:sp macro="" textlink="">
      <cdr:nvSpPr>
        <cdr:cNvPr id="8" name="CaixaDeTexto 1"/>
        <cdr:cNvSpPr txBox="1"/>
      </cdr:nvSpPr>
      <cdr:spPr>
        <a:xfrm xmlns:a="http://schemas.openxmlformats.org/drawingml/2006/main">
          <a:off x="495300" y="2886076"/>
          <a:ext cx="40767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t-BR" sz="1100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1171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Rocha Gomes</dc:creator>
  <cp:keywords/>
  <dc:description/>
  <cp:lastModifiedBy>LUISA HELENA SILVA DE MIRANDA</cp:lastModifiedBy>
  <cp:revision>3</cp:revision>
  <dcterms:created xsi:type="dcterms:W3CDTF">2025-04-23T18:12:00Z</dcterms:created>
  <dcterms:modified xsi:type="dcterms:W3CDTF">2025-08-13T13:00:00Z</dcterms:modified>
</cp:coreProperties>
</file>